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F2" w:rsidRDefault="00143AF2">
      <w:pPr>
        <w:outlineLvl w:val="0"/>
        <w:rPr>
          <w:b/>
          <w:sz w:val="22"/>
          <w:szCs w:val="22"/>
        </w:rPr>
      </w:pPr>
    </w:p>
    <w:p w:rsidR="00143AF2" w:rsidRDefault="00143AF2">
      <w:pPr>
        <w:outlineLvl w:val="0"/>
        <w:rPr>
          <w:b/>
          <w:sz w:val="22"/>
          <w:szCs w:val="22"/>
        </w:rPr>
      </w:pPr>
      <w:r>
        <w:rPr>
          <w:b/>
          <w:sz w:val="22"/>
          <w:szCs w:val="22"/>
        </w:rPr>
        <w:t>NOTES TO THE INTERIM FINANCIAL REPORT</w:t>
      </w:r>
    </w:p>
    <w:p w:rsidR="00143AF2" w:rsidRDefault="00143AF2">
      <w:pPr>
        <w:jc w:val="both"/>
        <w:rPr>
          <w:snapToGrid w:val="0"/>
          <w:color w:val="000000"/>
          <w:sz w:val="22"/>
          <w:szCs w:val="22"/>
        </w:rPr>
      </w:pPr>
    </w:p>
    <w:p w:rsidR="00143AF2" w:rsidRDefault="00143AF2">
      <w:pPr>
        <w:pStyle w:val="BodyTextIndent3"/>
        <w:ind w:left="0" w:firstLine="0"/>
        <w:rPr>
          <w:b/>
          <w:szCs w:val="22"/>
        </w:rPr>
      </w:pPr>
      <w:r>
        <w:rPr>
          <w:b/>
          <w:szCs w:val="22"/>
        </w:rPr>
        <w:t>A1.</w:t>
      </w:r>
      <w:r>
        <w:rPr>
          <w:b/>
          <w:szCs w:val="22"/>
        </w:rPr>
        <w:tab/>
        <w:t>Basis of Preparation</w:t>
      </w:r>
    </w:p>
    <w:p w:rsidR="00143AF2" w:rsidRDefault="00143AF2">
      <w:pPr>
        <w:pStyle w:val="BodyTextIndent3"/>
        <w:ind w:firstLine="0"/>
        <w:rPr>
          <w:szCs w:val="22"/>
        </w:rPr>
      </w:pPr>
    </w:p>
    <w:p w:rsidR="00133318" w:rsidRPr="003D53C6" w:rsidRDefault="00133318" w:rsidP="00133318">
      <w:pPr>
        <w:spacing w:line="216" w:lineRule="auto"/>
        <w:ind w:left="720"/>
        <w:jc w:val="both"/>
        <w:rPr>
          <w:sz w:val="22"/>
          <w:szCs w:val="24"/>
        </w:rPr>
      </w:pPr>
      <w:r w:rsidRPr="003D53C6">
        <w:rPr>
          <w:sz w:val="22"/>
          <w:szCs w:val="24"/>
        </w:rPr>
        <w:t>These condensed consolidated interim financial statements have been prepared in accordance with the applicable disclosure provisions of the Listing Requirements of the Bursa Malaysia Securities Berhad and MFRS 134, Interim Financial Reporting in Malaysia and with IAS 34, Interim Financial Reporting.  They do not include all of the information required for full annual financial statements, and should be read in conjunction with the consolidated financial statements of the Group as at and for</w:t>
      </w:r>
      <w:r w:rsidR="003D53C6">
        <w:rPr>
          <w:sz w:val="22"/>
          <w:szCs w:val="24"/>
        </w:rPr>
        <w:t xml:space="preserve"> the </w:t>
      </w:r>
      <w:r w:rsidR="000C7D2E">
        <w:rPr>
          <w:sz w:val="22"/>
          <w:szCs w:val="24"/>
        </w:rPr>
        <w:t xml:space="preserve">financial </w:t>
      </w:r>
      <w:r w:rsidR="003D53C6">
        <w:rPr>
          <w:sz w:val="22"/>
          <w:szCs w:val="24"/>
        </w:rPr>
        <w:t>year ended 30 September</w:t>
      </w:r>
      <w:r w:rsidR="00527796">
        <w:rPr>
          <w:sz w:val="22"/>
          <w:szCs w:val="24"/>
        </w:rPr>
        <w:t xml:space="preserve"> </w:t>
      </w:r>
      <w:r w:rsidRPr="003D53C6">
        <w:rPr>
          <w:sz w:val="22"/>
          <w:szCs w:val="24"/>
        </w:rPr>
        <w:t>2012.</w:t>
      </w:r>
    </w:p>
    <w:p w:rsidR="00143AF2" w:rsidRDefault="00143AF2">
      <w:pPr>
        <w:pStyle w:val="BodyTextIndent3"/>
        <w:ind w:firstLine="0"/>
        <w:rPr>
          <w:szCs w:val="22"/>
        </w:rPr>
      </w:pPr>
    </w:p>
    <w:p w:rsidR="006D47DC" w:rsidRDefault="00143AF2">
      <w:pPr>
        <w:pStyle w:val="BodyTextIndent3"/>
        <w:ind w:firstLine="0"/>
        <w:rPr>
          <w:szCs w:val="22"/>
        </w:rPr>
      </w:pPr>
      <w:r>
        <w:rPr>
          <w:szCs w:val="22"/>
        </w:rPr>
        <w:t xml:space="preserve">The interim financial report should be read in conjunction with </w:t>
      </w:r>
      <w:r w:rsidR="00771232">
        <w:rPr>
          <w:szCs w:val="22"/>
        </w:rPr>
        <w:t xml:space="preserve">the </w:t>
      </w:r>
      <w:r>
        <w:rPr>
          <w:szCs w:val="22"/>
        </w:rPr>
        <w:t xml:space="preserve">annual audited </w:t>
      </w:r>
      <w:r w:rsidR="00771232">
        <w:rPr>
          <w:szCs w:val="22"/>
        </w:rPr>
        <w:t>F</w:t>
      </w:r>
      <w:r>
        <w:rPr>
          <w:szCs w:val="22"/>
        </w:rPr>
        <w:t xml:space="preserve">inancial </w:t>
      </w:r>
      <w:r w:rsidR="00771232">
        <w:rPr>
          <w:szCs w:val="22"/>
        </w:rPr>
        <w:t>S</w:t>
      </w:r>
      <w:r>
        <w:rPr>
          <w:szCs w:val="22"/>
        </w:rPr>
        <w:t xml:space="preserve">tatements of the Group for the </w:t>
      </w:r>
      <w:r w:rsidR="00771232">
        <w:rPr>
          <w:szCs w:val="22"/>
        </w:rPr>
        <w:t xml:space="preserve">financial </w:t>
      </w:r>
      <w:r>
        <w:rPr>
          <w:szCs w:val="22"/>
        </w:rPr>
        <w:t xml:space="preserve">year ended </w:t>
      </w:r>
      <w:smartTag w:uri="urn:schemas-microsoft-com:office:smarttags" w:element="date">
        <w:smartTagPr>
          <w:attr w:name="Month" w:val="9"/>
          <w:attr w:name="Day" w:val="30"/>
          <w:attr w:name="Year" w:val="2012"/>
        </w:smartTagPr>
        <w:r>
          <w:rPr>
            <w:szCs w:val="22"/>
          </w:rPr>
          <w:t>3</w:t>
        </w:r>
        <w:r w:rsidR="007C13CA">
          <w:rPr>
            <w:szCs w:val="22"/>
          </w:rPr>
          <w:t>0 September</w:t>
        </w:r>
        <w:r w:rsidR="00B34DFD">
          <w:rPr>
            <w:szCs w:val="22"/>
          </w:rPr>
          <w:t xml:space="preserve"> 20</w:t>
        </w:r>
        <w:r w:rsidR="007C13CA">
          <w:rPr>
            <w:szCs w:val="22"/>
          </w:rPr>
          <w:t>12</w:t>
        </w:r>
      </w:smartTag>
      <w:r>
        <w:rPr>
          <w:szCs w:val="22"/>
        </w:rPr>
        <w:t>. The explanatory notes</w:t>
      </w:r>
      <w:r w:rsidR="000C7D2E">
        <w:rPr>
          <w:szCs w:val="22"/>
        </w:rPr>
        <w:t xml:space="preserve"> </w:t>
      </w:r>
      <w:r>
        <w:rPr>
          <w:szCs w:val="22"/>
        </w:rPr>
        <w:t xml:space="preserve">attached to the interim financial report provide an explanation of </w:t>
      </w:r>
      <w:r w:rsidR="00771232">
        <w:rPr>
          <w:szCs w:val="22"/>
        </w:rPr>
        <w:t xml:space="preserve">the </w:t>
      </w:r>
      <w:r>
        <w:rPr>
          <w:szCs w:val="22"/>
        </w:rPr>
        <w:t>events and transactions that are significant to an understanding of the changes in the financial position and performance of the Group since the fin</w:t>
      </w:r>
      <w:r w:rsidR="007C13CA">
        <w:rPr>
          <w:szCs w:val="22"/>
        </w:rPr>
        <w:t>ancial year ended 30 September 2012</w:t>
      </w:r>
      <w:r>
        <w:rPr>
          <w:szCs w:val="22"/>
        </w:rPr>
        <w:t>.</w:t>
      </w:r>
    </w:p>
    <w:p w:rsidR="00E2357F" w:rsidRDefault="00E2357F" w:rsidP="003E3727">
      <w:pPr>
        <w:pStyle w:val="BodyTextIndent3"/>
        <w:ind w:firstLine="0"/>
        <w:rPr>
          <w:bCs/>
          <w:szCs w:val="22"/>
        </w:rPr>
      </w:pPr>
    </w:p>
    <w:p w:rsidR="00673274" w:rsidRPr="006D47DC" w:rsidRDefault="00673274" w:rsidP="003E3727">
      <w:pPr>
        <w:pStyle w:val="BodyTextIndent3"/>
        <w:ind w:firstLine="0"/>
        <w:rPr>
          <w:bCs/>
          <w:szCs w:val="22"/>
        </w:rPr>
      </w:pPr>
    </w:p>
    <w:p w:rsidR="00143AF2" w:rsidRDefault="001D5216">
      <w:pPr>
        <w:pStyle w:val="BodyTextIndent3"/>
        <w:rPr>
          <w:b/>
          <w:szCs w:val="22"/>
        </w:rPr>
      </w:pPr>
      <w:r>
        <w:rPr>
          <w:b/>
          <w:szCs w:val="22"/>
        </w:rPr>
        <w:t>A2</w:t>
      </w:r>
      <w:r w:rsidR="00143AF2">
        <w:rPr>
          <w:b/>
          <w:szCs w:val="22"/>
        </w:rPr>
        <w:t>.</w:t>
      </w:r>
      <w:r w:rsidR="00143AF2">
        <w:rPr>
          <w:b/>
          <w:szCs w:val="22"/>
        </w:rPr>
        <w:tab/>
        <w:t>Declaration of Audit Qualification</w:t>
      </w:r>
    </w:p>
    <w:p w:rsidR="00143AF2" w:rsidRDefault="00143AF2">
      <w:pPr>
        <w:pStyle w:val="BodyTextIndent3"/>
        <w:ind w:firstLine="0"/>
        <w:rPr>
          <w:szCs w:val="22"/>
        </w:rPr>
      </w:pPr>
    </w:p>
    <w:p w:rsidR="00143AF2" w:rsidRDefault="00143AF2">
      <w:pPr>
        <w:pStyle w:val="BodyTextIndent3"/>
        <w:ind w:firstLine="0"/>
        <w:rPr>
          <w:szCs w:val="22"/>
        </w:rPr>
      </w:pPr>
      <w:r>
        <w:rPr>
          <w:szCs w:val="22"/>
        </w:rPr>
        <w:t xml:space="preserve">The auditors of the respective companies within the Group did not qualify their reports. </w:t>
      </w:r>
    </w:p>
    <w:p w:rsidR="00143AF2" w:rsidRDefault="00143AF2">
      <w:pPr>
        <w:pStyle w:val="BodyTextIndent3"/>
        <w:ind w:firstLine="0"/>
        <w:rPr>
          <w:szCs w:val="22"/>
        </w:rPr>
      </w:pPr>
    </w:p>
    <w:p w:rsidR="00E2357F" w:rsidRDefault="00E2357F">
      <w:pPr>
        <w:pStyle w:val="BodyTextIndent3"/>
        <w:ind w:firstLine="0"/>
        <w:rPr>
          <w:szCs w:val="22"/>
        </w:rPr>
      </w:pPr>
    </w:p>
    <w:p w:rsidR="00143AF2" w:rsidRDefault="001D5216">
      <w:pPr>
        <w:pStyle w:val="BodyTextIndent2"/>
        <w:ind w:hanging="720"/>
      </w:pPr>
      <w:r>
        <w:rPr>
          <w:b/>
        </w:rPr>
        <w:t>A3</w:t>
      </w:r>
      <w:r w:rsidR="00143AF2">
        <w:rPr>
          <w:b/>
        </w:rPr>
        <w:t>.</w:t>
      </w:r>
      <w:r w:rsidR="00143AF2">
        <w:rPr>
          <w:b/>
        </w:rPr>
        <w:tab/>
        <w:t>Seasonal or Cyclical Factors</w:t>
      </w:r>
    </w:p>
    <w:p w:rsidR="00143AF2" w:rsidRDefault="00143AF2">
      <w:pPr>
        <w:pStyle w:val="BodyTextIndent2"/>
      </w:pPr>
    </w:p>
    <w:p w:rsidR="00143AF2" w:rsidRDefault="00143AF2" w:rsidP="009E3E10">
      <w:pPr>
        <w:pStyle w:val="BodyTextIndent2"/>
      </w:pPr>
      <w:r>
        <w:t>The performance and the business operations within the Group were not significantly affected by any material seasonal or cyclical factors for th</w:t>
      </w:r>
      <w:r w:rsidR="00F47684">
        <w:t>e fin</w:t>
      </w:r>
      <w:r w:rsidR="007C2F50">
        <w:t>a</w:t>
      </w:r>
      <w:r w:rsidR="004C1435">
        <w:t>ncial year ended 30 September</w:t>
      </w:r>
      <w:r w:rsidR="00064224">
        <w:t xml:space="preserve"> 20</w:t>
      </w:r>
      <w:r w:rsidR="00E5086A">
        <w:t>13</w:t>
      </w:r>
      <w:r>
        <w:t>.</w:t>
      </w:r>
    </w:p>
    <w:p w:rsidR="00325CFF" w:rsidRDefault="00325CFF">
      <w:pPr>
        <w:pStyle w:val="BodyTextIndent"/>
      </w:pPr>
    </w:p>
    <w:p w:rsidR="00E2357F" w:rsidRDefault="00E2357F">
      <w:pPr>
        <w:pStyle w:val="BodyTextIndent"/>
      </w:pPr>
    </w:p>
    <w:p w:rsidR="00143AF2" w:rsidRDefault="001D5216">
      <w:pPr>
        <w:pStyle w:val="BodyTextIndent"/>
      </w:pPr>
      <w:r>
        <w:t>A4</w:t>
      </w:r>
      <w:r w:rsidR="00143AF2">
        <w:t>.</w:t>
      </w:r>
      <w:r w:rsidR="00143AF2">
        <w:tab/>
        <w:t>Nature and Amount of Items Affecting Assets, Liabilities, Equity, Net Income or Cash Flows that are unusual because of their Nature, Size or Incidence</w:t>
      </w:r>
    </w:p>
    <w:p w:rsidR="00143AF2" w:rsidRDefault="00143AF2">
      <w:pPr>
        <w:ind w:left="720"/>
        <w:jc w:val="both"/>
        <w:rPr>
          <w:snapToGrid w:val="0"/>
          <w:color w:val="000000"/>
          <w:sz w:val="22"/>
          <w:szCs w:val="22"/>
        </w:rPr>
      </w:pPr>
    </w:p>
    <w:p w:rsidR="00143AF2" w:rsidRDefault="00143AF2" w:rsidP="00485D78">
      <w:pPr>
        <w:ind w:left="720"/>
        <w:jc w:val="both"/>
        <w:rPr>
          <w:snapToGrid w:val="0"/>
          <w:color w:val="000000"/>
          <w:sz w:val="22"/>
          <w:szCs w:val="22"/>
        </w:rPr>
      </w:pPr>
      <w:r>
        <w:rPr>
          <w:snapToGrid w:val="0"/>
          <w:color w:val="000000"/>
          <w:sz w:val="22"/>
          <w:szCs w:val="22"/>
        </w:rPr>
        <w:t>There were no unusual items affecting the Group for th</w:t>
      </w:r>
      <w:r w:rsidR="00F47684">
        <w:rPr>
          <w:snapToGrid w:val="0"/>
          <w:color w:val="000000"/>
          <w:sz w:val="22"/>
          <w:szCs w:val="22"/>
        </w:rPr>
        <w:t>e fin</w:t>
      </w:r>
      <w:r w:rsidR="004C1435">
        <w:rPr>
          <w:snapToGrid w:val="0"/>
          <w:color w:val="000000"/>
          <w:sz w:val="22"/>
          <w:szCs w:val="22"/>
        </w:rPr>
        <w:t>ancial year ended 30 September</w:t>
      </w:r>
      <w:r w:rsidR="00E5086A">
        <w:rPr>
          <w:snapToGrid w:val="0"/>
          <w:color w:val="000000"/>
          <w:sz w:val="22"/>
          <w:szCs w:val="22"/>
        </w:rPr>
        <w:t xml:space="preserve"> 2013</w:t>
      </w:r>
      <w:r>
        <w:rPr>
          <w:snapToGrid w:val="0"/>
          <w:color w:val="000000"/>
          <w:sz w:val="22"/>
          <w:szCs w:val="22"/>
        </w:rPr>
        <w:t>.</w:t>
      </w:r>
    </w:p>
    <w:p w:rsidR="00143AF2" w:rsidRDefault="00143AF2">
      <w:pPr>
        <w:ind w:left="720"/>
        <w:jc w:val="both"/>
        <w:rPr>
          <w:snapToGrid w:val="0"/>
          <w:color w:val="000000"/>
          <w:sz w:val="22"/>
          <w:szCs w:val="22"/>
        </w:rPr>
      </w:pPr>
    </w:p>
    <w:p w:rsidR="00325CFF" w:rsidRDefault="00325CF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A5</w:t>
      </w:r>
      <w:r w:rsidR="00143AF2">
        <w:rPr>
          <w:b/>
          <w:snapToGrid w:val="0"/>
          <w:color w:val="000000"/>
          <w:sz w:val="22"/>
          <w:szCs w:val="22"/>
        </w:rPr>
        <w:t>.</w:t>
      </w:r>
      <w:r w:rsidR="00143AF2">
        <w:rPr>
          <w:b/>
          <w:snapToGrid w:val="0"/>
          <w:color w:val="000000"/>
          <w:sz w:val="22"/>
          <w:szCs w:val="22"/>
        </w:rPr>
        <w:tab/>
        <w:t>Nature and Amount of Changes in estimates reported in prior Interim Periods of the current Financial Year or prior Financial Year which may have a material effect in the current Interim Period</w:t>
      </w:r>
    </w:p>
    <w:p w:rsidR="00143AF2" w:rsidRDefault="00143AF2">
      <w:pPr>
        <w:ind w:left="720"/>
        <w:jc w:val="both"/>
        <w:rPr>
          <w:snapToGrid w:val="0"/>
          <w:color w:val="000000"/>
          <w:sz w:val="22"/>
          <w:szCs w:val="22"/>
        </w:rPr>
      </w:pPr>
    </w:p>
    <w:p w:rsidR="00143AF2" w:rsidRDefault="00143AF2" w:rsidP="004175C5">
      <w:pPr>
        <w:ind w:left="720"/>
        <w:jc w:val="both"/>
        <w:rPr>
          <w:snapToGrid w:val="0"/>
          <w:color w:val="000000"/>
          <w:sz w:val="22"/>
          <w:szCs w:val="22"/>
        </w:rPr>
      </w:pPr>
      <w:r>
        <w:rPr>
          <w:snapToGrid w:val="0"/>
          <w:color w:val="000000"/>
          <w:sz w:val="22"/>
          <w:szCs w:val="22"/>
        </w:rPr>
        <w:t>There were no material changes in the estimates for th</w:t>
      </w:r>
      <w:r w:rsidR="00F47684">
        <w:rPr>
          <w:snapToGrid w:val="0"/>
          <w:color w:val="000000"/>
          <w:sz w:val="22"/>
          <w:szCs w:val="22"/>
        </w:rPr>
        <w:t>e fin</w:t>
      </w:r>
      <w:r w:rsidR="004C1435">
        <w:rPr>
          <w:snapToGrid w:val="0"/>
          <w:color w:val="000000"/>
          <w:sz w:val="22"/>
          <w:szCs w:val="22"/>
        </w:rPr>
        <w:t>ancial year</w:t>
      </w:r>
      <w:r w:rsidR="00BF4619">
        <w:rPr>
          <w:snapToGrid w:val="0"/>
          <w:color w:val="000000"/>
          <w:sz w:val="22"/>
          <w:szCs w:val="22"/>
        </w:rPr>
        <w:t xml:space="preserve"> ended 3</w:t>
      </w:r>
      <w:r w:rsidR="004C1435">
        <w:rPr>
          <w:snapToGrid w:val="0"/>
          <w:color w:val="000000"/>
          <w:sz w:val="22"/>
          <w:szCs w:val="22"/>
        </w:rPr>
        <w:t>0 September</w:t>
      </w:r>
      <w:r w:rsidR="00E5086A">
        <w:rPr>
          <w:snapToGrid w:val="0"/>
          <w:color w:val="000000"/>
          <w:sz w:val="22"/>
          <w:szCs w:val="22"/>
        </w:rPr>
        <w:t xml:space="preserve"> 2013</w:t>
      </w:r>
      <w:r>
        <w:rPr>
          <w:snapToGrid w:val="0"/>
          <w:color w:val="000000"/>
          <w:sz w:val="22"/>
          <w:szCs w:val="22"/>
        </w:rPr>
        <w:t xml:space="preserve">. </w:t>
      </w:r>
    </w:p>
    <w:p w:rsidR="00143AF2" w:rsidRDefault="00143AF2">
      <w:pPr>
        <w:ind w:left="720"/>
        <w:jc w:val="both"/>
        <w:rPr>
          <w:snapToGrid w:val="0"/>
          <w:color w:val="000000"/>
          <w:sz w:val="22"/>
          <w:szCs w:val="22"/>
        </w:rPr>
      </w:pPr>
    </w:p>
    <w:p w:rsidR="00325CFF" w:rsidRDefault="00325CF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A6</w:t>
      </w:r>
      <w:r w:rsidR="00143AF2">
        <w:rPr>
          <w:b/>
          <w:snapToGrid w:val="0"/>
          <w:color w:val="000000"/>
          <w:sz w:val="22"/>
          <w:szCs w:val="22"/>
        </w:rPr>
        <w:t>.</w:t>
      </w:r>
      <w:r w:rsidR="00143AF2">
        <w:rPr>
          <w:b/>
          <w:snapToGrid w:val="0"/>
          <w:color w:val="000000"/>
          <w:sz w:val="22"/>
          <w:szCs w:val="22"/>
        </w:rPr>
        <w:tab/>
        <w:t>Issuance, Cancellation, Repurchases, Resale and Repayments of Debt and Equity Securities</w:t>
      </w:r>
    </w:p>
    <w:p w:rsidR="00143AF2" w:rsidRDefault="00143AF2">
      <w:pPr>
        <w:ind w:left="720"/>
        <w:jc w:val="both"/>
        <w:rPr>
          <w:snapToGrid w:val="0"/>
          <w:color w:val="000000"/>
          <w:sz w:val="22"/>
          <w:szCs w:val="22"/>
        </w:rPr>
      </w:pPr>
    </w:p>
    <w:p w:rsidR="008E0B4B" w:rsidRDefault="008E0B4B" w:rsidP="008E0B4B">
      <w:pPr>
        <w:ind w:left="720"/>
        <w:jc w:val="both"/>
        <w:rPr>
          <w:snapToGrid w:val="0"/>
          <w:color w:val="000000"/>
          <w:sz w:val="22"/>
          <w:szCs w:val="22"/>
        </w:rPr>
      </w:pPr>
      <w:r>
        <w:rPr>
          <w:snapToGrid w:val="0"/>
          <w:color w:val="000000"/>
          <w:sz w:val="22"/>
          <w:szCs w:val="22"/>
        </w:rPr>
        <w:t>There were no other issuance of shares, no cancellations, repurchases, resale and repayments of debt or equity securities for the financi</w:t>
      </w:r>
      <w:r w:rsidR="004C1435">
        <w:rPr>
          <w:snapToGrid w:val="0"/>
          <w:color w:val="000000"/>
          <w:sz w:val="22"/>
          <w:szCs w:val="22"/>
        </w:rPr>
        <w:t>al year ended 30 September</w:t>
      </w:r>
      <w:r w:rsidR="00E5086A">
        <w:rPr>
          <w:snapToGrid w:val="0"/>
          <w:color w:val="000000"/>
          <w:sz w:val="22"/>
          <w:szCs w:val="22"/>
        </w:rPr>
        <w:t xml:space="preserve"> 2013</w:t>
      </w:r>
      <w:r>
        <w:rPr>
          <w:snapToGrid w:val="0"/>
          <w:color w:val="000000"/>
          <w:sz w:val="22"/>
          <w:szCs w:val="22"/>
        </w:rPr>
        <w:t xml:space="preserve"> to date.</w:t>
      </w:r>
    </w:p>
    <w:p w:rsidR="00D8268A" w:rsidRDefault="00D8268A">
      <w:pPr>
        <w:jc w:val="both"/>
        <w:rPr>
          <w:b/>
          <w:sz w:val="22"/>
        </w:rPr>
      </w:pPr>
    </w:p>
    <w:p w:rsidR="003D53C6" w:rsidRDefault="003D53C6">
      <w:pPr>
        <w:jc w:val="both"/>
        <w:rPr>
          <w:b/>
          <w:sz w:val="22"/>
        </w:rPr>
      </w:pPr>
    </w:p>
    <w:p w:rsidR="00143AF2" w:rsidRDefault="001D5216">
      <w:pPr>
        <w:jc w:val="both"/>
        <w:rPr>
          <w:b/>
          <w:sz w:val="22"/>
        </w:rPr>
      </w:pPr>
      <w:r>
        <w:rPr>
          <w:b/>
          <w:sz w:val="22"/>
        </w:rPr>
        <w:t>A7</w:t>
      </w:r>
      <w:r w:rsidR="00143AF2">
        <w:rPr>
          <w:b/>
          <w:sz w:val="22"/>
        </w:rPr>
        <w:t>.</w:t>
      </w:r>
      <w:r w:rsidR="00143AF2">
        <w:rPr>
          <w:b/>
          <w:sz w:val="22"/>
        </w:rPr>
        <w:tab/>
        <w:t xml:space="preserve">Dividend Paid </w:t>
      </w:r>
    </w:p>
    <w:p w:rsidR="00143AF2" w:rsidRDefault="00143AF2">
      <w:pPr>
        <w:ind w:left="720"/>
        <w:jc w:val="both"/>
        <w:rPr>
          <w:sz w:val="22"/>
        </w:rPr>
      </w:pPr>
    </w:p>
    <w:p w:rsidR="00143AF2" w:rsidRDefault="00143AF2" w:rsidP="00485D78">
      <w:pPr>
        <w:ind w:left="720"/>
        <w:jc w:val="both"/>
        <w:rPr>
          <w:sz w:val="22"/>
        </w:rPr>
      </w:pPr>
      <w:r>
        <w:rPr>
          <w:sz w:val="22"/>
        </w:rPr>
        <w:t>No interim dividend was paid by the Company for th</w:t>
      </w:r>
      <w:r w:rsidR="00F47684">
        <w:rPr>
          <w:sz w:val="22"/>
        </w:rPr>
        <w:t>e fin</w:t>
      </w:r>
      <w:r w:rsidR="004C1435">
        <w:rPr>
          <w:sz w:val="22"/>
        </w:rPr>
        <w:t>ancial year</w:t>
      </w:r>
      <w:r w:rsidR="009E3E10">
        <w:rPr>
          <w:sz w:val="22"/>
        </w:rPr>
        <w:t xml:space="preserve"> ended</w:t>
      </w:r>
      <w:r w:rsidR="001E4F26">
        <w:rPr>
          <w:sz w:val="22"/>
        </w:rPr>
        <w:t xml:space="preserve"> 3</w:t>
      </w:r>
      <w:r w:rsidR="004C1435">
        <w:rPr>
          <w:sz w:val="22"/>
        </w:rPr>
        <w:t>0 September</w:t>
      </w:r>
      <w:r w:rsidR="00E5086A">
        <w:rPr>
          <w:sz w:val="22"/>
        </w:rPr>
        <w:t xml:space="preserve"> 2013</w:t>
      </w:r>
      <w:r>
        <w:rPr>
          <w:sz w:val="22"/>
        </w:rPr>
        <w:t xml:space="preserve"> under review. </w:t>
      </w:r>
    </w:p>
    <w:p w:rsidR="00143AF2" w:rsidRDefault="00143AF2">
      <w:pPr>
        <w:ind w:left="720"/>
        <w:jc w:val="both"/>
        <w:rPr>
          <w:snapToGrid w:val="0"/>
          <w:color w:val="000000"/>
          <w:sz w:val="22"/>
          <w:szCs w:val="22"/>
        </w:rPr>
      </w:pPr>
    </w:p>
    <w:p w:rsidR="00143AF2" w:rsidRDefault="001D5216">
      <w:pPr>
        <w:pStyle w:val="Heading9"/>
        <w:numPr>
          <w:ilvl w:val="0"/>
          <w:numId w:val="0"/>
        </w:numPr>
      </w:pPr>
      <w:r>
        <w:lastRenderedPageBreak/>
        <w:t>A8</w:t>
      </w:r>
      <w:r w:rsidR="00143AF2">
        <w:t>.</w:t>
      </w:r>
      <w:r w:rsidR="00143AF2">
        <w:tab/>
        <w:t xml:space="preserve">Segmental Reporting </w:t>
      </w:r>
    </w:p>
    <w:p w:rsidR="00527796" w:rsidRPr="00527796" w:rsidRDefault="00527796" w:rsidP="00527796"/>
    <w:p w:rsidR="00143AF2" w:rsidRDefault="00143AF2">
      <w:pPr>
        <w:ind w:left="720"/>
        <w:jc w:val="both"/>
        <w:rPr>
          <w:sz w:val="22"/>
          <w:szCs w:val="22"/>
        </w:rPr>
      </w:pPr>
      <w:r>
        <w:rPr>
          <w:sz w:val="22"/>
          <w:szCs w:val="22"/>
        </w:rPr>
        <w:t xml:space="preserve">No geographical segmental analysis is presented as the Group operates principally within </w:t>
      </w:r>
      <w:r w:rsidR="008E0B4B">
        <w:rPr>
          <w:sz w:val="22"/>
          <w:szCs w:val="22"/>
        </w:rPr>
        <w:t xml:space="preserve">one industry wholly in </w:t>
      </w:r>
      <w:r>
        <w:rPr>
          <w:sz w:val="22"/>
          <w:szCs w:val="22"/>
        </w:rPr>
        <w:t>Malaysia.</w:t>
      </w:r>
    </w:p>
    <w:p w:rsidR="00B55F68" w:rsidRDefault="00B55F68">
      <w:pPr>
        <w:ind w:left="720"/>
        <w:jc w:val="both"/>
        <w:rPr>
          <w:sz w:val="22"/>
          <w:szCs w:val="22"/>
        </w:rPr>
      </w:pPr>
    </w:p>
    <w:p w:rsidR="00E2357F" w:rsidRDefault="00E2357F">
      <w:pPr>
        <w:ind w:left="720"/>
        <w:jc w:val="both"/>
        <w:rPr>
          <w:sz w:val="22"/>
          <w:szCs w:val="22"/>
        </w:rPr>
      </w:pPr>
    </w:p>
    <w:p w:rsidR="00143AF2" w:rsidRPr="00B33AB3" w:rsidRDefault="001D5216">
      <w:pPr>
        <w:jc w:val="both"/>
        <w:rPr>
          <w:b/>
          <w:sz w:val="22"/>
          <w:szCs w:val="22"/>
        </w:rPr>
      </w:pPr>
      <w:r>
        <w:rPr>
          <w:b/>
          <w:sz w:val="22"/>
          <w:szCs w:val="22"/>
        </w:rPr>
        <w:t>A9</w:t>
      </w:r>
      <w:r w:rsidR="00143AF2" w:rsidRPr="00B33AB3">
        <w:rPr>
          <w:b/>
          <w:sz w:val="22"/>
          <w:szCs w:val="22"/>
        </w:rPr>
        <w:t>.</w:t>
      </w:r>
      <w:r w:rsidR="00143AF2" w:rsidRPr="00B33AB3">
        <w:rPr>
          <w:b/>
          <w:sz w:val="22"/>
          <w:szCs w:val="22"/>
        </w:rPr>
        <w:tab/>
        <w:t>Valuation of Property, Plant and Equipment</w:t>
      </w:r>
    </w:p>
    <w:p w:rsidR="00143AF2" w:rsidRPr="00B33AB3" w:rsidRDefault="00143AF2">
      <w:pPr>
        <w:ind w:left="720"/>
        <w:jc w:val="both"/>
        <w:rPr>
          <w:sz w:val="22"/>
        </w:rPr>
      </w:pPr>
    </w:p>
    <w:p w:rsidR="00143AF2" w:rsidRDefault="00614500" w:rsidP="00B87C84">
      <w:pPr>
        <w:ind w:left="720"/>
        <w:jc w:val="both"/>
        <w:rPr>
          <w:sz w:val="22"/>
        </w:rPr>
      </w:pPr>
      <w:r>
        <w:rPr>
          <w:sz w:val="22"/>
        </w:rPr>
        <w:t>There has been valuation exercise carried out on the Group’s land &amp; buildings during the financial year under review. As a result, the Group is able to</w:t>
      </w:r>
      <w:r w:rsidR="00F517D2">
        <w:rPr>
          <w:sz w:val="22"/>
        </w:rPr>
        <w:t xml:space="preserve"> register </w:t>
      </w:r>
      <w:r>
        <w:rPr>
          <w:sz w:val="22"/>
        </w:rPr>
        <w:t>revaluatio</w:t>
      </w:r>
      <w:r w:rsidR="00D56B7E">
        <w:rPr>
          <w:sz w:val="22"/>
        </w:rPr>
        <w:t>n surplus of approximately RM3.2</w:t>
      </w:r>
      <w:r>
        <w:rPr>
          <w:sz w:val="22"/>
        </w:rPr>
        <w:t xml:space="preserve">8 million, after net of tax, and being incorporated into </w:t>
      </w:r>
      <w:r w:rsidR="000C7D2E">
        <w:rPr>
          <w:sz w:val="22"/>
        </w:rPr>
        <w:t xml:space="preserve">the </w:t>
      </w:r>
      <w:r>
        <w:rPr>
          <w:sz w:val="22"/>
        </w:rPr>
        <w:t>accounts during the financial year.</w:t>
      </w:r>
    </w:p>
    <w:p w:rsidR="00EF07B3" w:rsidRDefault="00EF07B3">
      <w:pPr>
        <w:jc w:val="both"/>
        <w:rPr>
          <w:b/>
          <w:sz w:val="22"/>
        </w:rPr>
      </w:pPr>
    </w:p>
    <w:p w:rsidR="001C04B0" w:rsidRDefault="001C04B0">
      <w:pPr>
        <w:jc w:val="both"/>
        <w:rPr>
          <w:b/>
          <w:sz w:val="22"/>
        </w:rPr>
      </w:pPr>
    </w:p>
    <w:p w:rsidR="00143AF2" w:rsidRDefault="001D5216">
      <w:pPr>
        <w:jc w:val="both"/>
        <w:rPr>
          <w:sz w:val="22"/>
        </w:rPr>
      </w:pPr>
      <w:r>
        <w:rPr>
          <w:b/>
          <w:sz w:val="22"/>
        </w:rPr>
        <w:t>A10</w:t>
      </w:r>
      <w:r w:rsidR="00143AF2">
        <w:rPr>
          <w:b/>
          <w:sz w:val="22"/>
        </w:rPr>
        <w:t>.</w:t>
      </w:r>
      <w:r w:rsidR="00143AF2">
        <w:rPr>
          <w:b/>
          <w:sz w:val="22"/>
        </w:rPr>
        <w:tab/>
        <w:t xml:space="preserve">Subsequent Material Events </w:t>
      </w:r>
    </w:p>
    <w:p w:rsidR="00143AF2" w:rsidRDefault="00143AF2">
      <w:pPr>
        <w:ind w:left="720"/>
        <w:jc w:val="both"/>
        <w:rPr>
          <w:sz w:val="22"/>
          <w:szCs w:val="22"/>
        </w:rPr>
      </w:pPr>
    </w:p>
    <w:p w:rsidR="00143AF2" w:rsidRDefault="00143AF2" w:rsidP="00485D78">
      <w:pPr>
        <w:ind w:left="720" w:hanging="720"/>
        <w:jc w:val="both"/>
        <w:rPr>
          <w:bCs/>
          <w:snapToGrid w:val="0"/>
          <w:color w:val="000000"/>
          <w:sz w:val="22"/>
          <w:szCs w:val="22"/>
        </w:rPr>
      </w:pPr>
      <w:r>
        <w:rPr>
          <w:b/>
          <w:snapToGrid w:val="0"/>
          <w:color w:val="000000"/>
          <w:sz w:val="22"/>
          <w:szCs w:val="22"/>
        </w:rPr>
        <w:tab/>
      </w:r>
      <w:r>
        <w:rPr>
          <w:bCs/>
          <w:snapToGrid w:val="0"/>
          <w:color w:val="000000"/>
          <w:sz w:val="22"/>
          <w:szCs w:val="22"/>
        </w:rPr>
        <w:t xml:space="preserve">There </w:t>
      </w:r>
      <w:r w:rsidR="000C7D2E">
        <w:rPr>
          <w:bCs/>
          <w:snapToGrid w:val="0"/>
          <w:color w:val="000000"/>
          <w:sz w:val="22"/>
          <w:szCs w:val="22"/>
        </w:rPr>
        <w:t xml:space="preserve">were </w:t>
      </w:r>
      <w:r>
        <w:rPr>
          <w:bCs/>
          <w:snapToGrid w:val="0"/>
          <w:color w:val="000000"/>
          <w:sz w:val="22"/>
          <w:szCs w:val="22"/>
        </w:rPr>
        <w:t>no other material events subsequent to the end of t</w:t>
      </w:r>
      <w:r w:rsidR="004C146D">
        <w:rPr>
          <w:bCs/>
          <w:snapToGrid w:val="0"/>
          <w:color w:val="000000"/>
          <w:sz w:val="22"/>
          <w:szCs w:val="22"/>
        </w:rPr>
        <w:t>he financial year</w:t>
      </w:r>
      <w:r w:rsidR="00EF07B3">
        <w:rPr>
          <w:bCs/>
          <w:snapToGrid w:val="0"/>
          <w:color w:val="000000"/>
          <w:sz w:val="22"/>
          <w:szCs w:val="22"/>
        </w:rPr>
        <w:t xml:space="preserve"> en</w:t>
      </w:r>
      <w:r w:rsidR="0091587A">
        <w:rPr>
          <w:bCs/>
          <w:snapToGrid w:val="0"/>
          <w:color w:val="000000"/>
          <w:sz w:val="22"/>
          <w:szCs w:val="22"/>
        </w:rPr>
        <w:t xml:space="preserve">ded </w:t>
      </w:r>
      <w:r w:rsidR="004C146D">
        <w:rPr>
          <w:bCs/>
          <w:snapToGrid w:val="0"/>
          <w:color w:val="000000"/>
          <w:sz w:val="22"/>
          <w:szCs w:val="22"/>
        </w:rPr>
        <w:t>30 September</w:t>
      </w:r>
      <w:r w:rsidR="000C7D2E">
        <w:rPr>
          <w:bCs/>
          <w:snapToGrid w:val="0"/>
          <w:color w:val="000000"/>
          <w:sz w:val="22"/>
          <w:szCs w:val="22"/>
        </w:rPr>
        <w:t xml:space="preserve"> </w:t>
      </w:r>
      <w:r w:rsidR="00E5086A">
        <w:rPr>
          <w:bCs/>
          <w:snapToGrid w:val="0"/>
          <w:color w:val="000000"/>
          <w:sz w:val="22"/>
          <w:szCs w:val="22"/>
        </w:rPr>
        <w:t>2013</w:t>
      </w:r>
      <w:r>
        <w:rPr>
          <w:bCs/>
          <w:snapToGrid w:val="0"/>
          <w:color w:val="000000"/>
          <w:sz w:val="22"/>
          <w:szCs w:val="22"/>
        </w:rPr>
        <w:t xml:space="preserve"> that have not been reflected in the financial statements for the current period.</w:t>
      </w:r>
    </w:p>
    <w:p w:rsidR="00143AF2" w:rsidRDefault="00143AF2">
      <w:pPr>
        <w:ind w:left="720" w:hanging="720"/>
        <w:jc w:val="both"/>
        <w:rPr>
          <w:b/>
          <w:snapToGrid w:val="0"/>
          <w:color w:val="000000"/>
          <w:sz w:val="22"/>
          <w:szCs w:val="22"/>
        </w:rPr>
      </w:pPr>
    </w:p>
    <w:p w:rsidR="00E2357F" w:rsidRDefault="00E2357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A11</w:t>
      </w:r>
      <w:r w:rsidR="00143AF2">
        <w:rPr>
          <w:b/>
          <w:snapToGrid w:val="0"/>
          <w:color w:val="000000"/>
          <w:sz w:val="22"/>
          <w:szCs w:val="22"/>
        </w:rPr>
        <w:t>.</w:t>
      </w:r>
      <w:r w:rsidR="00143AF2">
        <w:rPr>
          <w:b/>
          <w:snapToGrid w:val="0"/>
          <w:color w:val="000000"/>
          <w:sz w:val="22"/>
          <w:szCs w:val="22"/>
        </w:rPr>
        <w:tab/>
        <w:t>Changes in composition of the Group</w:t>
      </w:r>
    </w:p>
    <w:p w:rsidR="00143AF2" w:rsidRDefault="00143AF2">
      <w:pPr>
        <w:ind w:left="720"/>
        <w:jc w:val="both"/>
        <w:rPr>
          <w:snapToGrid w:val="0"/>
          <w:color w:val="000000"/>
          <w:sz w:val="22"/>
          <w:szCs w:val="22"/>
        </w:rPr>
      </w:pPr>
    </w:p>
    <w:p w:rsidR="00143AF2" w:rsidRDefault="00143AF2" w:rsidP="00485D78">
      <w:pPr>
        <w:pStyle w:val="BodyTextIndent2"/>
        <w:rPr>
          <w:szCs w:val="22"/>
        </w:rPr>
      </w:pPr>
      <w:r>
        <w:rPr>
          <w:szCs w:val="22"/>
        </w:rPr>
        <w:t xml:space="preserve">There are no changes in the composition of the Group </w:t>
      </w:r>
      <w:r w:rsidR="004C146D">
        <w:rPr>
          <w:szCs w:val="22"/>
        </w:rPr>
        <w:t>for the current financial year</w:t>
      </w:r>
      <w:r>
        <w:rPr>
          <w:szCs w:val="22"/>
        </w:rPr>
        <w:t xml:space="preserve"> ended </w:t>
      </w:r>
      <w:r w:rsidR="004C146D">
        <w:rPr>
          <w:szCs w:val="22"/>
        </w:rPr>
        <w:t>30 September</w:t>
      </w:r>
      <w:r w:rsidR="000C7D2E">
        <w:rPr>
          <w:szCs w:val="22"/>
        </w:rPr>
        <w:t xml:space="preserve"> </w:t>
      </w:r>
      <w:r w:rsidR="00E5086A">
        <w:rPr>
          <w:szCs w:val="22"/>
        </w:rPr>
        <w:t>2013</w:t>
      </w:r>
      <w:r>
        <w:rPr>
          <w:szCs w:val="22"/>
        </w:rPr>
        <w:t xml:space="preserve"> to date.</w:t>
      </w:r>
    </w:p>
    <w:p w:rsidR="001F13EE" w:rsidRDefault="001F13EE">
      <w:pPr>
        <w:pStyle w:val="BodyTextIndent2"/>
        <w:rPr>
          <w:szCs w:val="22"/>
        </w:rPr>
      </w:pPr>
    </w:p>
    <w:p w:rsidR="00E2357F" w:rsidRDefault="00E2357F">
      <w:pPr>
        <w:pStyle w:val="BodyTextIndent2"/>
        <w:rPr>
          <w:szCs w:val="22"/>
        </w:rPr>
      </w:pPr>
    </w:p>
    <w:p w:rsidR="00143AF2" w:rsidRDefault="001D5216">
      <w:pPr>
        <w:jc w:val="both"/>
        <w:rPr>
          <w:sz w:val="22"/>
        </w:rPr>
      </w:pPr>
      <w:r>
        <w:rPr>
          <w:b/>
          <w:sz w:val="22"/>
        </w:rPr>
        <w:t>A12</w:t>
      </w:r>
      <w:r w:rsidR="00143AF2">
        <w:rPr>
          <w:b/>
          <w:sz w:val="22"/>
        </w:rPr>
        <w:t>.</w:t>
      </w:r>
      <w:r w:rsidR="00143AF2">
        <w:rPr>
          <w:sz w:val="22"/>
        </w:rPr>
        <w:tab/>
      </w:r>
      <w:r w:rsidR="00143AF2">
        <w:rPr>
          <w:b/>
          <w:sz w:val="22"/>
        </w:rPr>
        <w:t>Contingent Liabilities/Contingent Assets</w:t>
      </w:r>
    </w:p>
    <w:p w:rsidR="00143AF2" w:rsidRDefault="00143AF2">
      <w:pPr>
        <w:ind w:firstLine="720"/>
        <w:jc w:val="both"/>
        <w:rPr>
          <w:sz w:val="22"/>
        </w:rPr>
      </w:pPr>
    </w:p>
    <w:p w:rsidR="00143AF2" w:rsidRDefault="00143AF2" w:rsidP="00485D78">
      <w:pPr>
        <w:ind w:left="720"/>
        <w:jc w:val="both"/>
        <w:outlineLvl w:val="0"/>
        <w:rPr>
          <w:sz w:val="22"/>
        </w:rPr>
      </w:pPr>
      <w:r>
        <w:rPr>
          <w:sz w:val="22"/>
        </w:rPr>
        <w:t>There have been no changes and no material contingent liabilities/assets incurred by the Grou</w:t>
      </w:r>
      <w:r w:rsidR="000D2AC6">
        <w:rPr>
          <w:sz w:val="22"/>
        </w:rPr>
        <w:t xml:space="preserve">p as </w:t>
      </w:r>
      <w:r w:rsidR="004C146D">
        <w:rPr>
          <w:sz w:val="22"/>
        </w:rPr>
        <w:t>at the year ended 30 September</w:t>
      </w:r>
      <w:r w:rsidR="000C7D2E">
        <w:rPr>
          <w:sz w:val="22"/>
        </w:rPr>
        <w:t xml:space="preserve"> </w:t>
      </w:r>
      <w:r w:rsidR="00E5086A">
        <w:rPr>
          <w:sz w:val="22"/>
        </w:rPr>
        <w:t>2013</w:t>
      </w:r>
      <w:r>
        <w:rPr>
          <w:sz w:val="22"/>
        </w:rPr>
        <w:t>.</w:t>
      </w:r>
    </w:p>
    <w:p w:rsidR="000D2AC6" w:rsidRDefault="000D2AC6">
      <w:pPr>
        <w:outlineLvl w:val="0"/>
        <w:rPr>
          <w:b/>
          <w:sz w:val="22"/>
          <w:szCs w:val="22"/>
        </w:rPr>
      </w:pPr>
    </w:p>
    <w:p w:rsidR="00D26CA1" w:rsidRDefault="00D26CA1">
      <w:pPr>
        <w:outlineLvl w:val="0"/>
        <w:rPr>
          <w:b/>
          <w:sz w:val="22"/>
          <w:szCs w:val="22"/>
        </w:rPr>
      </w:pPr>
    </w:p>
    <w:p w:rsidR="00143AF2" w:rsidRDefault="00143AF2">
      <w:pPr>
        <w:outlineLvl w:val="0"/>
        <w:rPr>
          <w:b/>
          <w:sz w:val="22"/>
          <w:szCs w:val="22"/>
        </w:rPr>
      </w:pPr>
      <w:r>
        <w:rPr>
          <w:b/>
          <w:sz w:val="22"/>
          <w:szCs w:val="22"/>
        </w:rPr>
        <w:t xml:space="preserve">ADDITIONAL INFORMATION REQUIRED BY </w:t>
      </w:r>
      <w:smartTag w:uri="urn:schemas-microsoft-com:office:smarttags" w:element="City">
        <w:smartTag w:uri="urn:schemas-microsoft-com:office:smarttags" w:element="place">
          <w:r>
            <w:rPr>
              <w:b/>
              <w:sz w:val="22"/>
              <w:szCs w:val="22"/>
            </w:rPr>
            <w:t>BURSA</w:t>
          </w:r>
        </w:smartTag>
      </w:smartTag>
      <w:smartTag w:uri="urn:schemas-microsoft-com:office:smarttags" w:element="country-region">
        <w:smartTag w:uri="urn:schemas-microsoft-com:office:smarttags" w:element="place">
          <w:r>
            <w:rPr>
              <w:b/>
              <w:sz w:val="22"/>
              <w:szCs w:val="22"/>
            </w:rPr>
            <w:t>MALAYSIA</w:t>
          </w:r>
        </w:smartTag>
      </w:smartTag>
      <w:r>
        <w:rPr>
          <w:b/>
          <w:sz w:val="22"/>
          <w:szCs w:val="22"/>
        </w:rPr>
        <w:t xml:space="preserve"> SECURITIES BERHAD’S LISTING REQUIREMENTS</w:t>
      </w:r>
    </w:p>
    <w:p w:rsidR="00143AF2" w:rsidRDefault="00143AF2">
      <w:pPr>
        <w:outlineLvl w:val="0"/>
        <w:rPr>
          <w:b/>
          <w:sz w:val="22"/>
          <w:szCs w:val="22"/>
        </w:rPr>
      </w:pPr>
    </w:p>
    <w:p w:rsidR="00B55F68" w:rsidRDefault="00B55F68">
      <w:pPr>
        <w:outlineLvl w:val="0"/>
        <w:rPr>
          <w:b/>
          <w:sz w:val="22"/>
          <w:szCs w:val="22"/>
        </w:rPr>
      </w:pPr>
    </w:p>
    <w:p w:rsidR="00143AF2" w:rsidRPr="00B33AB3" w:rsidRDefault="00143AF2">
      <w:pPr>
        <w:ind w:left="720" w:hanging="720"/>
        <w:jc w:val="both"/>
        <w:rPr>
          <w:sz w:val="22"/>
        </w:rPr>
      </w:pPr>
      <w:r w:rsidRPr="00B33AB3">
        <w:rPr>
          <w:b/>
          <w:sz w:val="22"/>
        </w:rPr>
        <w:t>B1.</w:t>
      </w:r>
      <w:r w:rsidRPr="00B33AB3">
        <w:rPr>
          <w:b/>
          <w:sz w:val="22"/>
        </w:rPr>
        <w:tab/>
        <w:t>Review of Performance</w:t>
      </w:r>
    </w:p>
    <w:p w:rsidR="00143AF2" w:rsidRPr="00B33AB3" w:rsidRDefault="00143AF2">
      <w:pPr>
        <w:ind w:left="720"/>
        <w:jc w:val="both"/>
        <w:rPr>
          <w:sz w:val="22"/>
        </w:rPr>
      </w:pPr>
      <w:r w:rsidRPr="00B33AB3">
        <w:rPr>
          <w:sz w:val="22"/>
          <w:szCs w:val="24"/>
          <w:lang w:val="en-GB" w:eastAsia="zh-CN"/>
        </w:rPr>
        <w:tab/>
      </w:r>
    </w:p>
    <w:p w:rsidR="00D16C62" w:rsidRPr="00B33AB3" w:rsidRDefault="00DB40D2" w:rsidP="005469CA">
      <w:pPr>
        <w:ind w:left="720" w:hanging="720"/>
        <w:jc w:val="both"/>
        <w:rPr>
          <w:sz w:val="22"/>
        </w:rPr>
      </w:pPr>
      <w:r w:rsidRPr="00B33AB3">
        <w:rPr>
          <w:sz w:val="22"/>
        </w:rPr>
        <w:tab/>
      </w:r>
      <w:r w:rsidR="00D16C62" w:rsidRPr="00B33AB3">
        <w:rPr>
          <w:sz w:val="22"/>
        </w:rPr>
        <w:t>The G</w:t>
      </w:r>
      <w:r w:rsidR="00E1411D" w:rsidRPr="00B33AB3">
        <w:rPr>
          <w:sz w:val="22"/>
        </w:rPr>
        <w:t>r</w:t>
      </w:r>
      <w:r w:rsidR="0091587A" w:rsidRPr="00B33AB3">
        <w:rPr>
          <w:sz w:val="22"/>
        </w:rPr>
        <w:t>ou</w:t>
      </w:r>
      <w:r w:rsidR="001F13EE">
        <w:rPr>
          <w:sz w:val="22"/>
        </w:rPr>
        <w:t>p recor</w:t>
      </w:r>
      <w:r w:rsidR="00D3284C">
        <w:rPr>
          <w:sz w:val="22"/>
        </w:rPr>
        <w:t>ded a turn</w:t>
      </w:r>
      <w:r w:rsidR="00A63996">
        <w:rPr>
          <w:sz w:val="22"/>
        </w:rPr>
        <w:t>over of RM18.19</w:t>
      </w:r>
      <w:r w:rsidR="00891DEF">
        <w:rPr>
          <w:sz w:val="22"/>
        </w:rPr>
        <w:t xml:space="preserve"> million for thecurrent </w:t>
      </w:r>
      <w:r w:rsidR="00D16C62" w:rsidRPr="00B33AB3">
        <w:rPr>
          <w:sz w:val="22"/>
        </w:rPr>
        <w:t>Fin</w:t>
      </w:r>
      <w:r w:rsidR="0091587A" w:rsidRPr="00B33AB3">
        <w:rPr>
          <w:sz w:val="22"/>
        </w:rPr>
        <w:t>ancial Quarter ended</w:t>
      </w:r>
      <w:r w:rsidR="00A27912">
        <w:rPr>
          <w:sz w:val="22"/>
        </w:rPr>
        <w:t xml:space="preserve"> 30 September</w:t>
      </w:r>
      <w:r w:rsidR="004868DB" w:rsidRPr="00B33AB3">
        <w:rPr>
          <w:sz w:val="22"/>
        </w:rPr>
        <w:t xml:space="preserve"> 201</w:t>
      </w:r>
      <w:r w:rsidR="00E5086A">
        <w:rPr>
          <w:sz w:val="22"/>
        </w:rPr>
        <w:t>3</w:t>
      </w:r>
      <w:r w:rsidR="004868DB" w:rsidRPr="00B33AB3">
        <w:rPr>
          <w:sz w:val="22"/>
        </w:rPr>
        <w:t xml:space="preserve"> as compared with RM1</w:t>
      </w:r>
      <w:r w:rsidR="00A27912">
        <w:rPr>
          <w:sz w:val="22"/>
        </w:rPr>
        <w:t>6.25</w:t>
      </w:r>
      <w:r w:rsidR="00D16C62" w:rsidRPr="00B33AB3">
        <w:rPr>
          <w:sz w:val="22"/>
        </w:rPr>
        <w:t xml:space="preserve"> million in the same period of </w:t>
      </w:r>
      <w:r w:rsidR="006C451C" w:rsidRPr="00B33AB3">
        <w:rPr>
          <w:sz w:val="22"/>
        </w:rPr>
        <w:t xml:space="preserve">the </w:t>
      </w:r>
      <w:r w:rsidR="00D16C62" w:rsidRPr="00B33AB3">
        <w:rPr>
          <w:sz w:val="22"/>
        </w:rPr>
        <w:t xml:space="preserve">preceding year. This </w:t>
      </w:r>
      <w:r w:rsidR="008B0284">
        <w:rPr>
          <w:sz w:val="22"/>
        </w:rPr>
        <w:t xml:space="preserve">represents a </w:t>
      </w:r>
      <w:r w:rsidR="00A90E83">
        <w:rPr>
          <w:sz w:val="22"/>
        </w:rPr>
        <w:t>growth of 11.94</w:t>
      </w:r>
      <w:r w:rsidR="005F1F97">
        <w:rPr>
          <w:sz w:val="22"/>
        </w:rPr>
        <w:t xml:space="preserve">% </w:t>
      </w:r>
      <w:r w:rsidR="00D425D8">
        <w:rPr>
          <w:sz w:val="22"/>
        </w:rPr>
        <w:t xml:space="preserve">in comparison of </w:t>
      </w:r>
      <w:r w:rsidR="001A78DE">
        <w:rPr>
          <w:sz w:val="22"/>
        </w:rPr>
        <w:t>both</w:t>
      </w:r>
      <w:r w:rsidR="00891DEF">
        <w:rPr>
          <w:sz w:val="22"/>
        </w:rPr>
        <w:t xml:space="preserve"> financial quarters involved i</w:t>
      </w:r>
      <w:r w:rsidR="00D16C62" w:rsidRPr="00B33AB3">
        <w:rPr>
          <w:sz w:val="22"/>
        </w:rPr>
        <w:t>n the Group’</w:t>
      </w:r>
      <w:r w:rsidR="00FE75A4" w:rsidRPr="00B33AB3">
        <w:rPr>
          <w:sz w:val="22"/>
        </w:rPr>
        <w:t>s consolidated turnover</w:t>
      </w:r>
      <w:r w:rsidR="00203424" w:rsidRPr="00B33AB3">
        <w:rPr>
          <w:sz w:val="22"/>
        </w:rPr>
        <w:t>.</w:t>
      </w:r>
    </w:p>
    <w:p w:rsidR="00D16C62" w:rsidRPr="00B33AB3" w:rsidRDefault="00D16C62" w:rsidP="00D16C62">
      <w:pPr>
        <w:ind w:left="720" w:hanging="720"/>
        <w:jc w:val="both"/>
        <w:rPr>
          <w:sz w:val="22"/>
        </w:rPr>
      </w:pPr>
    </w:p>
    <w:p w:rsidR="00D16C62" w:rsidRPr="00B33AB3" w:rsidRDefault="0002356A" w:rsidP="001B1FA8">
      <w:pPr>
        <w:ind w:left="720"/>
        <w:jc w:val="both"/>
        <w:rPr>
          <w:sz w:val="22"/>
        </w:rPr>
      </w:pPr>
      <w:r w:rsidRPr="00B33AB3">
        <w:rPr>
          <w:sz w:val="22"/>
        </w:rPr>
        <w:t>T</w:t>
      </w:r>
      <w:r w:rsidR="001F20C5" w:rsidRPr="00B33AB3">
        <w:rPr>
          <w:sz w:val="22"/>
        </w:rPr>
        <w:t xml:space="preserve">he </w:t>
      </w:r>
      <w:r w:rsidR="00FE75A4" w:rsidRPr="00B33AB3">
        <w:rPr>
          <w:sz w:val="22"/>
        </w:rPr>
        <w:t>G</w:t>
      </w:r>
      <w:r w:rsidR="00B17F8B" w:rsidRPr="00B33AB3">
        <w:rPr>
          <w:sz w:val="22"/>
        </w:rPr>
        <w:t xml:space="preserve">roup </w:t>
      </w:r>
      <w:r w:rsidRPr="00B33AB3">
        <w:rPr>
          <w:sz w:val="22"/>
        </w:rPr>
        <w:t>posted</w:t>
      </w:r>
      <w:r w:rsidR="000C7D2E">
        <w:rPr>
          <w:sz w:val="22"/>
        </w:rPr>
        <w:t xml:space="preserve"> </w:t>
      </w:r>
      <w:r w:rsidR="00891DEF">
        <w:rPr>
          <w:sz w:val="22"/>
        </w:rPr>
        <w:t xml:space="preserve">its current </w:t>
      </w:r>
      <w:r w:rsidR="00686B67">
        <w:rPr>
          <w:sz w:val="22"/>
        </w:rPr>
        <w:t>Q</w:t>
      </w:r>
      <w:r w:rsidR="00D16C62" w:rsidRPr="00B33AB3">
        <w:rPr>
          <w:sz w:val="22"/>
        </w:rPr>
        <w:t>uarter resu</w:t>
      </w:r>
      <w:r w:rsidR="00B17F8B" w:rsidRPr="00B33AB3">
        <w:rPr>
          <w:sz w:val="22"/>
        </w:rPr>
        <w:t>l</w:t>
      </w:r>
      <w:r w:rsidR="00681B94" w:rsidRPr="00B33AB3">
        <w:rPr>
          <w:sz w:val="22"/>
        </w:rPr>
        <w:t>t</w:t>
      </w:r>
      <w:r w:rsidR="005F1F97">
        <w:rPr>
          <w:sz w:val="22"/>
        </w:rPr>
        <w:t>s with a loss</w:t>
      </w:r>
      <w:r w:rsidR="004868DB" w:rsidRPr="00B33AB3">
        <w:rPr>
          <w:sz w:val="22"/>
        </w:rPr>
        <w:t xml:space="preserve"> after tax</w:t>
      </w:r>
      <w:r w:rsidR="00A90E83">
        <w:rPr>
          <w:sz w:val="22"/>
        </w:rPr>
        <w:t xml:space="preserve"> of RM1.99</w:t>
      </w:r>
      <w:r w:rsidR="00A27912">
        <w:rPr>
          <w:sz w:val="22"/>
        </w:rPr>
        <w:t xml:space="preserve"> million</w:t>
      </w:r>
      <w:r w:rsidR="005F1F97">
        <w:rPr>
          <w:sz w:val="22"/>
        </w:rPr>
        <w:t>. The</w:t>
      </w:r>
      <w:r w:rsidR="003E70E7">
        <w:rPr>
          <w:sz w:val="22"/>
        </w:rPr>
        <w:t xml:space="preserve"> higher</w:t>
      </w:r>
      <w:r w:rsidR="000C7D2E">
        <w:rPr>
          <w:sz w:val="22"/>
        </w:rPr>
        <w:t xml:space="preserve"> </w:t>
      </w:r>
      <w:r w:rsidR="005F1F97">
        <w:rPr>
          <w:sz w:val="22"/>
        </w:rPr>
        <w:t>loss</w:t>
      </w:r>
      <w:r w:rsidR="00891DEF">
        <w:rPr>
          <w:sz w:val="22"/>
        </w:rPr>
        <w:t xml:space="preserve"> recorded was</w:t>
      </w:r>
      <w:r w:rsidR="001A78DE">
        <w:rPr>
          <w:sz w:val="22"/>
        </w:rPr>
        <w:t xml:space="preserve"> attributed </w:t>
      </w:r>
      <w:r w:rsidR="00A27912">
        <w:rPr>
          <w:sz w:val="22"/>
        </w:rPr>
        <w:t>to the Group’s increase in operating costs</w:t>
      </w:r>
      <w:r w:rsidR="00C262EC">
        <w:rPr>
          <w:sz w:val="22"/>
        </w:rPr>
        <w:t>. T</w:t>
      </w:r>
      <w:r w:rsidR="00686B67">
        <w:rPr>
          <w:sz w:val="22"/>
        </w:rPr>
        <w:t>he G</w:t>
      </w:r>
      <w:r w:rsidR="00A27912">
        <w:rPr>
          <w:sz w:val="22"/>
        </w:rPr>
        <w:t xml:space="preserve">roup reported </w:t>
      </w:r>
      <w:r w:rsidR="000C7D2E">
        <w:rPr>
          <w:sz w:val="22"/>
        </w:rPr>
        <w:t xml:space="preserve">a </w:t>
      </w:r>
      <w:r w:rsidR="00A27912">
        <w:rPr>
          <w:sz w:val="22"/>
        </w:rPr>
        <w:t>loss</w:t>
      </w:r>
      <w:r w:rsidR="000C7D2E">
        <w:rPr>
          <w:sz w:val="22"/>
        </w:rPr>
        <w:t xml:space="preserve"> </w:t>
      </w:r>
      <w:r w:rsidR="009139FE">
        <w:rPr>
          <w:sz w:val="22"/>
        </w:rPr>
        <w:t>after tax of RM</w:t>
      </w:r>
      <w:r w:rsidR="00A27912">
        <w:rPr>
          <w:sz w:val="22"/>
        </w:rPr>
        <w:t>34,000</w:t>
      </w:r>
      <w:r w:rsidR="000C7D2E">
        <w:rPr>
          <w:sz w:val="22"/>
        </w:rPr>
        <w:t xml:space="preserve">.00 </w:t>
      </w:r>
      <w:r w:rsidR="00D16C62" w:rsidRPr="00B33AB3">
        <w:rPr>
          <w:sz w:val="22"/>
        </w:rPr>
        <w:t>for th</w:t>
      </w:r>
      <w:r w:rsidR="007574E1" w:rsidRPr="00B33AB3">
        <w:rPr>
          <w:sz w:val="22"/>
        </w:rPr>
        <w:t>e cor</w:t>
      </w:r>
      <w:r w:rsidR="00521B4D" w:rsidRPr="00B33AB3">
        <w:rPr>
          <w:sz w:val="22"/>
        </w:rPr>
        <w:t>respo</w:t>
      </w:r>
      <w:r w:rsidR="00ED4374">
        <w:rPr>
          <w:sz w:val="22"/>
        </w:rPr>
        <w:t>nd</w:t>
      </w:r>
      <w:r w:rsidR="00D3284C">
        <w:rPr>
          <w:sz w:val="22"/>
        </w:rPr>
        <w:t>i</w:t>
      </w:r>
      <w:r w:rsidR="001A78DE">
        <w:rPr>
          <w:sz w:val="22"/>
        </w:rPr>
        <w:t>ng quarter ended 3</w:t>
      </w:r>
      <w:r w:rsidR="00CF5484">
        <w:rPr>
          <w:sz w:val="22"/>
        </w:rPr>
        <w:t>0 September</w:t>
      </w:r>
      <w:r w:rsidR="00E5086A">
        <w:rPr>
          <w:sz w:val="22"/>
        </w:rPr>
        <w:t xml:space="preserve"> 2012</w:t>
      </w:r>
      <w:r w:rsidR="00D16C62" w:rsidRPr="00B33AB3">
        <w:rPr>
          <w:sz w:val="22"/>
        </w:rPr>
        <w:t>.</w:t>
      </w:r>
    </w:p>
    <w:p w:rsidR="00DB40D2" w:rsidRPr="00B33AB3" w:rsidRDefault="00DB40D2" w:rsidP="00BB2CD1">
      <w:pPr>
        <w:ind w:left="720"/>
        <w:jc w:val="both"/>
        <w:rPr>
          <w:sz w:val="22"/>
        </w:rPr>
      </w:pPr>
    </w:p>
    <w:p w:rsidR="003D53C6" w:rsidRPr="00B33AB3" w:rsidRDefault="003D53C6">
      <w:pPr>
        <w:ind w:left="720"/>
        <w:jc w:val="both"/>
        <w:rPr>
          <w:sz w:val="22"/>
        </w:rPr>
      </w:pPr>
    </w:p>
    <w:p w:rsidR="00143AF2" w:rsidRPr="00B33AB3" w:rsidRDefault="00143AF2">
      <w:pPr>
        <w:pStyle w:val="Heading9"/>
        <w:numPr>
          <w:ilvl w:val="0"/>
          <w:numId w:val="0"/>
        </w:numPr>
        <w:ind w:left="720" w:hanging="720"/>
        <w:rPr>
          <w:bCs/>
        </w:rPr>
      </w:pPr>
      <w:r w:rsidRPr="00B33AB3">
        <w:rPr>
          <w:bCs/>
        </w:rPr>
        <w:t>B2.</w:t>
      </w:r>
      <w:r w:rsidRPr="00B33AB3">
        <w:rPr>
          <w:bCs/>
        </w:rPr>
        <w:tab/>
        <w:t>Results Comparison with immediate preceding quarter</w:t>
      </w:r>
    </w:p>
    <w:p w:rsidR="00143AF2" w:rsidRPr="00B33AB3" w:rsidRDefault="00143AF2">
      <w:pPr>
        <w:ind w:left="720" w:hanging="720"/>
        <w:jc w:val="both"/>
        <w:rPr>
          <w:b/>
          <w:bCs/>
          <w:sz w:val="22"/>
        </w:rPr>
      </w:pPr>
    </w:p>
    <w:p w:rsidR="00D16C62" w:rsidRDefault="00143AF2" w:rsidP="00E9080B">
      <w:pPr>
        <w:ind w:left="720" w:hanging="720"/>
        <w:jc w:val="both"/>
        <w:rPr>
          <w:sz w:val="22"/>
        </w:rPr>
      </w:pPr>
      <w:r w:rsidRPr="00B33AB3">
        <w:rPr>
          <w:sz w:val="22"/>
        </w:rPr>
        <w:tab/>
      </w:r>
      <w:r w:rsidR="00D16C62" w:rsidRPr="00B33AB3">
        <w:rPr>
          <w:sz w:val="22"/>
        </w:rPr>
        <w:t>In the current quarter under review, the G</w:t>
      </w:r>
      <w:r w:rsidR="00891DEF">
        <w:rPr>
          <w:sz w:val="22"/>
        </w:rPr>
        <w:t xml:space="preserve">roup </w:t>
      </w:r>
      <w:r w:rsidR="005F1F97">
        <w:rPr>
          <w:sz w:val="22"/>
        </w:rPr>
        <w:t>registered a consolidated loss</w:t>
      </w:r>
      <w:r w:rsidR="000C7D2E">
        <w:rPr>
          <w:sz w:val="22"/>
        </w:rPr>
        <w:t xml:space="preserve"> </w:t>
      </w:r>
      <w:r w:rsidR="007574E1" w:rsidRPr="00B33AB3">
        <w:rPr>
          <w:sz w:val="22"/>
        </w:rPr>
        <w:t>be</w:t>
      </w:r>
      <w:r w:rsidR="00521B4D" w:rsidRPr="00B33AB3">
        <w:rPr>
          <w:sz w:val="22"/>
        </w:rPr>
        <w:t>fo</w:t>
      </w:r>
      <w:r w:rsidR="00ED4374">
        <w:rPr>
          <w:sz w:val="22"/>
        </w:rPr>
        <w:t xml:space="preserve">re tax of      </w:t>
      </w:r>
      <w:r w:rsidR="002B515F">
        <w:rPr>
          <w:sz w:val="22"/>
        </w:rPr>
        <w:t>RM1.9</w:t>
      </w:r>
      <w:r w:rsidR="000C7D2E">
        <w:rPr>
          <w:sz w:val="22"/>
        </w:rPr>
        <w:t>0</w:t>
      </w:r>
      <w:r w:rsidR="00A27912">
        <w:rPr>
          <w:sz w:val="22"/>
        </w:rPr>
        <w:t xml:space="preserve"> million</w:t>
      </w:r>
      <w:r w:rsidR="000C7D2E">
        <w:rPr>
          <w:sz w:val="22"/>
        </w:rPr>
        <w:t xml:space="preserve"> </w:t>
      </w:r>
      <w:r w:rsidR="00403DD8">
        <w:rPr>
          <w:sz w:val="22"/>
        </w:rPr>
        <w:t>as compared to the</w:t>
      </w:r>
      <w:r w:rsidR="00CF0105">
        <w:rPr>
          <w:sz w:val="22"/>
        </w:rPr>
        <w:t xml:space="preserve"> loss</w:t>
      </w:r>
      <w:r w:rsidR="004868DB" w:rsidRPr="00B33AB3">
        <w:rPr>
          <w:sz w:val="22"/>
        </w:rPr>
        <w:t xml:space="preserve"> before tax of RM</w:t>
      </w:r>
      <w:r w:rsidR="002B515F">
        <w:rPr>
          <w:sz w:val="22"/>
        </w:rPr>
        <w:t>2.4 million</w:t>
      </w:r>
      <w:r w:rsidR="000C7D2E">
        <w:rPr>
          <w:sz w:val="22"/>
        </w:rPr>
        <w:t xml:space="preserve"> </w:t>
      </w:r>
      <w:r w:rsidR="007574E1" w:rsidRPr="00B33AB3">
        <w:rPr>
          <w:sz w:val="22"/>
        </w:rPr>
        <w:t>in</w:t>
      </w:r>
      <w:r w:rsidR="00D16C62" w:rsidRPr="00B33AB3">
        <w:rPr>
          <w:sz w:val="22"/>
        </w:rPr>
        <w:t xml:space="preserve"> t</w:t>
      </w:r>
      <w:r w:rsidR="007574E1" w:rsidRPr="00B33AB3">
        <w:rPr>
          <w:sz w:val="22"/>
        </w:rPr>
        <w:t xml:space="preserve">he </w:t>
      </w:r>
      <w:r w:rsidR="00891DEF">
        <w:rPr>
          <w:sz w:val="22"/>
        </w:rPr>
        <w:t xml:space="preserve">immediate </w:t>
      </w:r>
      <w:r w:rsidR="007574E1" w:rsidRPr="00B33AB3">
        <w:rPr>
          <w:sz w:val="22"/>
        </w:rPr>
        <w:t>preceding quart</w:t>
      </w:r>
      <w:r w:rsidR="00CF0105">
        <w:rPr>
          <w:sz w:val="22"/>
        </w:rPr>
        <w:t>er. Th</w:t>
      </w:r>
      <w:r w:rsidR="002B515F">
        <w:rPr>
          <w:sz w:val="22"/>
        </w:rPr>
        <w:t>e lower</w:t>
      </w:r>
      <w:r w:rsidR="0057181D">
        <w:rPr>
          <w:sz w:val="22"/>
        </w:rPr>
        <w:t xml:space="preserve"> loss </w:t>
      </w:r>
      <w:r w:rsidR="00ED4374">
        <w:rPr>
          <w:sz w:val="22"/>
        </w:rPr>
        <w:t>w</w:t>
      </w:r>
      <w:r w:rsidR="00F82246">
        <w:rPr>
          <w:sz w:val="22"/>
        </w:rPr>
        <w:t>as</w:t>
      </w:r>
      <w:r w:rsidR="0057181D">
        <w:rPr>
          <w:sz w:val="22"/>
        </w:rPr>
        <w:t xml:space="preserve"> mainly due to</w:t>
      </w:r>
      <w:r w:rsidR="000C7D2E">
        <w:rPr>
          <w:sz w:val="22"/>
        </w:rPr>
        <w:t xml:space="preserve"> the</w:t>
      </w:r>
      <w:r w:rsidR="0057181D">
        <w:rPr>
          <w:sz w:val="22"/>
        </w:rPr>
        <w:t xml:space="preserve"> </w:t>
      </w:r>
      <w:r w:rsidR="002B515F">
        <w:rPr>
          <w:sz w:val="22"/>
        </w:rPr>
        <w:t>de</w:t>
      </w:r>
      <w:r w:rsidR="00A27912">
        <w:rPr>
          <w:sz w:val="22"/>
        </w:rPr>
        <w:t xml:space="preserve">crease in </w:t>
      </w:r>
      <w:r w:rsidR="000C7D2E">
        <w:rPr>
          <w:sz w:val="22"/>
        </w:rPr>
        <w:t xml:space="preserve">the </w:t>
      </w:r>
      <w:r w:rsidR="00A27912">
        <w:rPr>
          <w:sz w:val="22"/>
        </w:rPr>
        <w:t>operating costs</w:t>
      </w:r>
      <w:r w:rsidR="00CF0105">
        <w:rPr>
          <w:sz w:val="22"/>
        </w:rPr>
        <w:t xml:space="preserve"> in the</w:t>
      </w:r>
      <w:r w:rsidR="000C7D2E">
        <w:rPr>
          <w:sz w:val="22"/>
        </w:rPr>
        <w:t xml:space="preserve"> </w:t>
      </w:r>
      <w:r w:rsidR="002B515F">
        <w:rPr>
          <w:sz w:val="22"/>
        </w:rPr>
        <w:t xml:space="preserve">current financial quarter as compared with </w:t>
      </w:r>
      <w:r w:rsidR="000C7D2E">
        <w:rPr>
          <w:sz w:val="22"/>
        </w:rPr>
        <w:t xml:space="preserve">the </w:t>
      </w:r>
      <w:r w:rsidR="002B515F">
        <w:rPr>
          <w:sz w:val="22"/>
        </w:rPr>
        <w:t xml:space="preserve">preceding </w:t>
      </w:r>
      <w:r w:rsidR="000C7D2E">
        <w:rPr>
          <w:sz w:val="22"/>
        </w:rPr>
        <w:t xml:space="preserve">corresponding </w:t>
      </w:r>
      <w:r w:rsidR="002B515F">
        <w:rPr>
          <w:sz w:val="22"/>
        </w:rPr>
        <w:t>quarter.</w:t>
      </w:r>
    </w:p>
    <w:p w:rsidR="00143AF2" w:rsidRDefault="00143AF2">
      <w:pPr>
        <w:pStyle w:val="Heading9"/>
        <w:numPr>
          <w:ilvl w:val="0"/>
          <w:numId w:val="0"/>
        </w:numPr>
        <w:ind w:left="720" w:hanging="720"/>
        <w:rPr>
          <w:bCs/>
        </w:rPr>
      </w:pPr>
      <w:r>
        <w:rPr>
          <w:bCs/>
        </w:rPr>
        <w:lastRenderedPageBreak/>
        <w:t>B3.</w:t>
      </w:r>
      <w:r>
        <w:rPr>
          <w:bCs/>
        </w:rPr>
        <w:tab/>
        <w:t>Current Year Prospects</w:t>
      </w:r>
    </w:p>
    <w:p w:rsidR="00143AF2" w:rsidRDefault="00143AF2">
      <w:pPr>
        <w:ind w:left="720" w:hanging="720"/>
        <w:jc w:val="both"/>
        <w:rPr>
          <w:b/>
          <w:bCs/>
          <w:sz w:val="22"/>
        </w:rPr>
      </w:pPr>
    </w:p>
    <w:p w:rsidR="00143AF2" w:rsidRDefault="00143AF2" w:rsidP="004D7B22">
      <w:pPr>
        <w:ind w:left="720" w:hanging="720"/>
        <w:jc w:val="both"/>
        <w:rPr>
          <w:sz w:val="22"/>
        </w:rPr>
      </w:pPr>
      <w:r>
        <w:rPr>
          <w:b/>
          <w:bCs/>
          <w:sz w:val="22"/>
        </w:rPr>
        <w:tab/>
      </w:r>
      <w:r>
        <w:rPr>
          <w:sz w:val="22"/>
        </w:rPr>
        <w:t>The overall outlook for the Grou</w:t>
      </w:r>
      <w:bookmarkStart w:id="0" w:name="_GoBack"/>
      <w:bookmarkEnd w:id="0"/>
      <w:r>
        <w:rPr>
          <w:sz w:val="22"/>
        </w:rPr>
        <w:t>p’s performance fo</w:t>
      </w:r>
      <w:r w:rsidR="004D7B22">
        <w:rPr>
          <w:sz w:val="22"/>
        </w:rPr>
        <w:t xml:space="preserve">r the rest of the year </w:t>
      </w:r>
      <w:r w:rsidR="00216084">
        <w:rPr>
          <w:sz w:val="22"/>
        </w:rPr>
        <w:t xml:space="preserve">remains slow but will be </w:t>
      </w:r>
      <w:r w:rsidR="000C7D2E">
        <w:rPr>
          <w:sz w:val="22"/>
        </w:rPr>
        <w:t xml:space="preserve">still be </w:t>
      </w:r>
      <w:r w:rsidR="00216084">
        <w:rPr>
          <w:sz w:val="22"/>
        </w:rPr>
        <w:t xml:space="preserve">very </w:t>
      </w:r>
      <w:r w:rsidR="004D7B22">
        <w:rPr>
          <w:sz w:val="22"/>
        </w:rPr>
        <w:t xml:space="preserve">challenging </w:t>
      </w:r>
      <w:r w:rsidR="00216084">
        <w:rPr>
          <w:sz w:val="22"/>
        </w:rPr>
        <w:t>due to the continuing lacklust</w:t>
      </w:r>
      <w:r w:rsidR="008C5742">
        <w:rPr>
          <w:sz w:val="22"/>
        </w:rPr>
        <w:t>er</w:t>
      </w:r>
      <w:r w:rsidR="00216084">
        <w:rPr>
          <w:sz w:val="22"/>
        </w:rPr>
        <w:t xml:space="preserve"> and uncertainties in </w:t>
      </w:r>
      <w:r w:rsidR="004D7B22">
        <w:rPr>
          <w:sz w:val="22"/>
        </w:rPr>
        <w:t>the current economic climate</w:t>
      </w:r>
      <w:r w:rsidR="008C5742">
        <w:rPr>
          <w:sz w:val="22"/>
        </w:rPr>
        <w:t xml:space="preserve">. However, </w:t>
      </w:r>
      <w:r w:rsidR="004D7B22">
        <w:rPr>
          <w:sz w:val="22"/>
        </w:rPr>
        <w:t xml:space="preserve">the </w:t>
      </w:r>
      <w:r w:rsidR="00216084">
        <w:rPr>
          <w:sz w:val="22"/>
        </w:rPr>
        <w:t>M</w:t>
      </w:r>
      <w:r w:rsidR="008C5742">
        <w:rPr>
          <w:sz w:val="22"/>
        </w:rPr>
        <w:t xml:space="preserve">anagement </w:t>
      </w:r>
      <w:r w:rsidR="00E2357F">
        <w:rPr>
          <w:sz w:val="22"/>
        </w:rPr>
        <w:t>will in their best</w:t>
      </w:r>
      <w:r w:rsidR="000C7D2E">
        <w:rPr>
          <w:sz w:val="22"/>
        </w:rPr>
        <w:t xml:space="preserve"> efforts and</w:t>
      </w:r>
      <w:r w:rsidR="00E2357F">
        <w:rPr>
          <w:sz w:val="22"/>
        </w:rPr>
        <w:t xml:space="preserve"> </w:t>
      </w:r>
      <w:r w:rsidR="000C7D2E">
        <w:rPr>
          <w:sz w:val="22"/>
        </w:rPr>
        <w:t>endeavo</w:t>
      </w:r>
      <w:r w:rsidR="0002356A">
        <w:rPr>
          <w:sz w:val="22"/>
        </w:rPr>
        <w:t>r</w:t>
      </w:r>
      <w:r w:rsidR="000C7D2E">
        <w:rPr>
          <w:sz w:val="22"/>
        </w:rPr>
        <w:t>s</w:t>
      </w:r>
      <w:r w:rsidR="0002356A">
        <w:rPr>
          <w:sz w:val="22"/>
        </w:rPr>
        <w:t xml:space="preserve"> to face the challenging market condition</w:t>
      </w:r>
      <w:r w:rsidR="00E2357F">
        <w:rPr>
          <w:sz w:val="22"/>
        </w:rPr>
        <w:t xml:space="preserve"> during these trying times</w:t>
      </w:r>
      <w:r w:rsidR="0002356A">
        <w:rPr>
          <w:sz w:val="22"/>
        </w:rPr>
        <w:t>.</w:t>
      </w:r>
    </w:p>
    <w:p w:rsidR="001C04B0" w:rsidRDefault="001C04B0">
      <w:pPr>
        <w:ind w:left="720" w:hanging="720"/>
        <w:jc w:val="both"/>
        <w:rPr>
          <w:sz w:val="22"/>
        </w:rPr>
      </w:pPr>
    </w:p>
    <w:p w:rsidR="00C712DA" w:rsidRDefault="00C712DA">
      <w:pPr>
        <w:ind w:left="720" w:hanging="720"/>
        <w:jc w:val="both"/>
        <w:rPr>
          <w:b/>
          <w:bCs/>
          <w:sz w:val="22"/>
        </w:rPr>
      </w:pPr>
    </w:p>
    <w:p w:rsidR="00143AF2" w:rsidRDefault="00143AF2">
      <w:pPr>
        <w:ind w:left="720" w:hanging="720"/>
        <w:jc w:val="both"/>
        <w:rPr>
          <w:b/>
          <w:bCs/>
          <w:sz w:val="22"/>
        </w:rPr>
      </w:pPr>
      <w:r>
        <w:rPr>
          <w:b/>
          <w:bCs/>
          <w:sz w:val="22"/>
        </w:rPr>
        <w:t>B4.</w:t>
      </w:r>
      <w:r>
        <w:rPr>
          <w:b/>
          <w:bCs/>
          <w:sz w:val="22"/>
        </w:rPr>
        <w:tab/>
        <w:t>Variance of actual profit from forecast profit</w:t>
      </w:r>
    </w:p>
    <w:p w:rsidR="00143AF2" w:rsidRDefault="00143AF2">
      <w:pPr>
        <w:ind w:left="720"/>
        <w:jc w:val="both"/>
        <w:rPr>
          <w:sz w:val="22"/>
        </w:rPr>
      </w:pPr>
    </w:p>
    <w:p w:rsidR="00143AF2" w:rsidRDefault="00143AF2">
      <w:pPr>
        <w:jc w:val="both"/>
        <w:rPr>
          <w:bCs/>
          <w:sz w:val="22"/>
        </w:rPr>
      </w:pPr>
      <w:r>
        <w:rPr>
          <w:b/>
          <w:sz w:val="22"/>
        </w:rPr>
        <w:tab/>
      </w:r>
      <w:r>
        <w:rPr>
          <w:bCs/>
          <w:sz w:val="22"/>
        </w:rPr>
        <w:t>No profit guarantee and profit forecast is required.</w:t>
      </w:r>
    </w:p>
    <w:p w:rsidR="007574E1" w:rsidRDefault="007574E1">
      <w:pPr>
        <w:ind w:left="720" w:hanging="720"/>
        <w:jc w:val="both"/>
        <w:rPr>
          <w:b/>
          <w:sz w:val="22"/>
        </w:rPr>
      </w:pPr>
    </w:p>
    <w:p w:rsidR="00E2357F" w:rsidRDefault="00E2357F">
      <w:pPr>
        <w:ind w:left="720" w:hanging="720"/>
        <w:jc w:val="both"/>
        <w:rPr>
          <w:b/>
          <w:sz w:val="22"/>
        </w:rPr>
      </w:pPr>
    </w:p>
    <w:p w:rsidR="00143AF2" w:rsidRDefault="00143AF2">
      <w:pPr>
        <w:ind w:left="720" w:hanging="720"/>
        <w:jc w:val="both"/>
        <w:rPr>
          <w:b/>
          <w:sz w:val="22"/>
        </w:rPr>
      </w:pPr>
      <w:r>
        <w:rPr>
          <w:b/>
          <w:sz w:val="22"/>
        </w:rPr>
        <w:t>B5.</w:t>
      </w:r>
      <w:r>
        <w:rPr>
          <w:sz w:val="22"/>
        </w:rPr>
        <w:tab/>
      </w:r>
      <w:r>
        <w:rPr>
          <w:b/>
          <w:sz w:val="22"/>
        </w:rPr>
        <w:t>Taxation</w:t>
      </w:r>
    </w:p>
    <w:tbl>
      <w:tblPr>
        <w:tblW w:w="8208" w:type="dxa"/>
        <w:tblInd w:w="720" w:type="dxa"/>
        <w:tblLook w:val="0000"/>
      </w:tblPr>
      <w:tblGrid>
        <w:gridCol w:w="4788"/>
        <w:gridCol w:w="1800"/>
        <w:gridCol w:w="1620"/>
      </w:tblGrid>
      <w:tr w:rsidR="00143AF2">
        <w:tc>
          <w:tcPr>
            <w:tcW w:w="4788" w:type="dxa"/>
          </w:tcPr>
          <w:p w:rsidR="00143AF2" w:rsidRDefault="00143AF2">
            <w:pPr>
              <w:jc w:val="both"/>
              <w:rPr>
                <w:b/>
                <w:sz w:val="22"/>
              </w:rPr>
            </w:pPr>
          </w:p>
        </w:tc>
        <w:tc>
          <w:tcPr>
            <w:tcW w:w="1800" w:type="dxa"/>
          </w:tcPr>
          <w:p w:rsidR="00143AF2" w:rsidRDefault="00143AF2">
            <w:pPr>
              <w:jc w:val="center"/>
              <w:rPr>
                <w:b/>
                <w:sz w:val="22"/>
              </w:rPr>
            </w:pPr>
            <w:r>
              <w:rPr>
                <w:b/>
                <w:sz w:val="22"/>
              </w:rPr>
              <w:t>Current Quarter</w:t>
            </w:r>
          </w:p>
          <w:p w:rsidR="00143AF2" w:rsidRDefault="00143AF2">
            <w:pPr>
              <w:jc w:val="center"/>
              <w:rPr>
                <w:b/>
                <w:sz w:val="22"/>
              </w:rPr>
            </w:pPr>
            <w:r>
              <w:rPr>
                <w:b/>
                <w:sz w:val="22"/>
              </w:rPr>
              <w:t>ended</w:t>
            </w:r>
          </w:p>
          <w:p w:rsidR="00143AF2" w:rsidRDefault="00485D78" w:rsidP="004175C5">
            <w:pPr>
              <w:jc w:val="center"/>
              <w:rPr>
                <w:b/>
                <w:sz w:val="22"/>
              </w:rPr>
            </w:pPr>
            <w:r>
              <w:rPr>
                <w:b/>
                <w:sz w:val="22"/>
              </w:rPr>
              <w:t>3</w:t>
            </w:r>
            <w:r w:rsidR="004C146D">
              <w:rPr>
                <w:b/>
                <w:sz w:val="22"/>
              </w:rPr>
              <w:t>0.9</w:t>
            </w:r>
            <w:r w:rsidR="00E5086A">
              <w:rPr>
                <w:b/>
                <w:sz w:val="22"/>
              </w:rPr>
              <w:t>.2013</w:t>
            </w:r>
          </w:p>
          <w:p w:rsidR="00143AF2" w:rsidRDefault="00143AF2">
            <w:pPr>
              <w:jc w:val="center"/>
              <w:rPr>
                <w:b/>
                <w:sz w:val="22"/>
              </w:rPr>
            </w:pPr>
            <w:r>
              <w:rPr>
                <w:b/>
                <w:sz w:val="22"/>
              </w:rPr>
              <w:t>RM’000</w:t>
            </w:r>
          </w:p>
        </w:tc>
        <w:tc>
          <w:tcPr>
            <w:tcW w:w="1620" w:type="dxa"/>
          </w:tcPr>
          <w:p w:rsidR="00143AF2" w:rsidRDefault="004C146D" w:rsidP="00B87C84">
            <w:pPr>
              <w:rPr>
                <w:b/>
                <w:sz w:val="22"/>
              </w:rPr>
            </w:pPr>
            <w:r>
              <w:rPr>
                <w:b/>
                <w:sz w:val="22"/>
              </w:rPr>
              <w:t>12</w:t>
            </w:r>
            <w:r w:rsidR="00143AF2">
              <w:rPr>
                <w:b/>
                <w:sz w:val="22"/>
              </w:rPr>
              <w:t xml:space="preserve"> months</w:t>
            </w:r>
          </w:p>
          <w:p w:rsidR="00143AF2" w:rsidRDefault="00143AF2">
            <w:pPr>
              <w:jc w:val="center"/>
              <w:rPr>
                <w:b/>
                <w:sz w:val="22"/>
              </w:rPr>
            </w:pPr>
            <w:r>
              <w:rPr>
                <w:b/>
                <w:sz w:val="22"/>
              </w:rPr>
              <w:t>Cumulative</w:t>
            </w:r>
          </w:p>
          <w:p w:rsidR="00143AF2" w:rsidRDefault="00143AF2">
            <w:pPr>
              <w:jc w:val="center"/>
              <w:rPr>
                <w:b/>
                <w:sz w:val="22"/>
              </w:rPr>
            </w:pPr>
            <w:r>
              <w:rPr>
                <w:b/>
                <w:sz w:val="22"/>
              </w:rPr>
              <w:t xml:space="preserve"> to</w:t>
            </w:r>
          </w:p>
          <w:p w:rsidR="00143AF2" w:rsidRDefault="009E3E10" w:rsidP="004175C5">
            <w:pPr>
              <w:jc w:val="center"/>
              <w:rPr>
                <w:b/>
                <w:sz w:val="22"/>
              </w:rPr>
            </w:pPr>
            <w:r>
              <w:rPr>
                <w:b/>
                <w:sz w:val="22"/>
              </w:rPr>
              <w:t xml:space="preserve"> 3</w:t>
            </w:r>
            <w:r w:rsidR="00D55006">
              <w:rPr>
                <w:b/>
                <w:sz w:val="22"/>
              </w:rPr>
              <w:t>0</w:t>
            </w:r>
            <w:r>
              <w:rPr>
                <w:b/>
                <w:sz w:val="22"/>
              </w:rPr>
              <w:t>.</w:t>
            </w:r>
            <w:r w:rsidR="004C146D">
              <w:rPr>
                <w:b/>
                <w:sz w:val="22"/>
              </w:rPr>
              <w:t>9</w:t>
            </w:r>
            <w:r w:rsidR="00D24C57">
              <w:rPr>
                <w:b/>
                <w:sz w:val="22"/>
              </w:rPr>
              <w:t>.2013</w:t>
            </w:r>
          </w:p>
          <w:p w:rsidR="00143AF2" w:rsidRDefault="00143AF2">
            <w:pPr>
              <w:jc w:val="center"/>
              <w:rPr>
                <w:b/>
                <w:sz w:val="22"/>
              </w:rPr>
            </w:pPr>
            <w:r>
              <w:rPr>
                <w:b/>
                <w:sz w:val="22"/>
              </w:rPr>
              <w:t>RM’000</w:t>
            </w:r>
          </w:p>
        </w:tc>
      </w:tr>
      <w:tr w:rsidR="00143AF2">
        <w:tc>
          <w:tcPr>
            <w:tcW w:w="4788" w:type="dxa"/>
          </w:tcPr>
          <w:p w:rsidR="00143AF2" w:rsidRDefault="00143AF2">
            <w:pPr>
              <w:jc w:val="both"/>
              <w:rPr>
                <w:bCs/>
                <w:sz w:val="22"/>
              </w:rPr>
            </w:pPr>
            <w:r>
              <w:rPr>
                <w:bCs/>
                <w:sz w:val="22"/>
              </w:rPr>
              <w:t>Current tax expenses</w:t>
            </w:r>
          </w:p>
        </w:tc>
        <w:tc>
          <w:tcPr>
            <w:tcW w:w="1800" w:type="dxa"/>
          </w:tcPr>
          <w:p w:rsidR="00143AF2" w:rsidRDefault="00057E54" w:rsidP="000A4458">
            <w:pPr>
              <w:ind w:right="440"/>
              <w:jc w:val="center"/>
              <w:rPr>
                <w:bCs/>
                <w:sz w:val="22"/>
              </w:rPr>
            </w:pPr>
            <w:r>
              <w:rPr>
                <w:bCs/>
                <w:sz w:val="22"/>
              </w:rPr>
              <w:t>192</w:t>
            </w:r>
          </w:p>
        </w:tc>
        <w:tc>
          <w:tcPr>
            <w:tcW w:w="1620" w:type="dxa"/>
          </w:tcPr>
          <w:p w:rsidR="00143AF2" w:rsidRDefault="00057E54" w:rsidP="000A4458">
            <w:pPr>
              <w:ind w:right="440"/>
              <w:jc w:val="center"/>
              <w:rPr>
                <w:bCs/>
                <w:sz w:val="22"/>
              </w:rPr>
            </w:pPr>
            <w:r>
              <w:rPr>
                <w:bCs/>
                <w:sz w:val="22"/>
              </w:rPr>
              <w:t>371</w:t>
            </w:r>
          </w:p>
        </w:tc>
      </w:tr>
      <w:tr w:rsidR="00143AF2">
        <w:tc>
          <w:tcPr>
            <w:tcW w:w="4788" w:type="dxa"/>
          </w:tcPr>
          <w:p w:rsidR="00143AF2" w:rsidRDefault="00143AF2">
            <w:pPr>
              <w:jc w:val="both"/>
              <w:rPr>
                <w:bCs/>
                <w:sz w:val="22"/>
              </w:rPr>
            </w:pPr>
            <w:r>
              <w:rPr>
                <w:bCs/>
                <w:sz w:val="22"/>
              </w:rPr>
              <w:t>Deferred tax expenses</w:t>
            </w:r>
          </w:p>
        </w:tc>
        <w:tc>
          <w:tcPr>
            <w:tcW w:w="1800" w:type="dxa"/>
          </w:tcPr>
          <w:p w:rsidR="00143AF2" w:rsidRDefault="00057E54" w:rsidP="00057E54">
            <w:pPr>
              <w:ind w:right="440"/>
              <w:rPr>
                <w:bCs/>
                <w:sz w:val="22"/>
              </w:rPr>
            </w:pPr>
            <w:r>
              <w:rPr>
                <w:bCs/>
                <w:sz w:val="22"/>
              </w:rPr>
              <w:t>(118)</w:t>
            </w:r>
          </w:p>
        </w:tc>
        <w:tc>
          <w:tcPr>
            <w:tcW w:w="1620" w:type="dxa"/>
          </w:tcPr>
          <w:p w:rsidR="00143AF2" w:rsidRDefault="00057E54" w:rsidP="000A4458">
            <w:pPr>
              <w:ind w:right="440"/>
              <w:jc w:val="center"/>
              <w:rPr>
                <w:bCs/>
                <w:sz w:val="22"/>
              </w:rPr>
            </w:pPr>
            <w:r>
              <w:rPr>
                <w:bCs/>
                <w:sz w:val="22"/>
              </w:rPr>
              <w:t xml:space="preserve">      (118)</w:t>
            </w:r>
          </w:p>
        </w:tc>
      </w:tr>
      <w:tr w:rsidR="00143AF2">
        <w:tc>
          <w:tcPr>
            <w:tcW w:w="4788" w:type="dxa"/>
          </w:tcPr>
          <w:p w:rsidR="00143AF2" w:rsidRDefault="00143AF2">
            <w:pPr>
              <w:jc w:val="both"/>
              <w:rPr>
                <w:bCs/>
                <w:sz w:val="22"/>
              </w:rPr>
            </w:pPr>
          </w:p>
        </w:tc>
        <w:tc>
          <w:tcPr>
            <w:tcW w:w="1800" w:type="dxa"/>
            <w:tcBorders>
              <w:bottom w:val="single" w:sz="4" w:space="0" w:color="auto"/>
            </w:tcBorders>
          </w:tcPr>
          <w:p w:rsidR="00143AF2" w:rsidRDefault="00143AF2">
            <w:pPr>
              <w:jc w:val="right"/>
              <w:rPr>
                <w:bCs/>
                <w:sz w:val="22"/>
              </w:rPr>
            </w:pPr>
          </w:p>
        </w:tc>
        <w:tc>
          <w:tcPr>
            <w:tcW w:w="1620" w:type="dxa"/>
            <w:tcBorders>
              <w:bottom w:val="single" w:sz="4" w:space="0" w:color="auto"/>
            </w:tcBorders>
          </w:tcPr>
          <w:p w:rsidR="00143AF2" w:rsidRDefault="00143AF2">
            <w:pPr>
              <w:jc w:val="right"/>
              <w:rPr>
                <w:bCs/>
                <w:sz w:val="22"/>
              </w:rPr>
            </w:pPr>
          </w:p>
        </w:tc>
      </w:tr>
      <w:tr w:rsidR="00143AF2">
        <w:tc>
          <w:tcPr>
            <w:tcW w:w="4788" w:type="dxa"/>
          </w:tcPr>
          <w:p w:rsidR="00143AF2" w:rsidRDefault="00143AF2">
            <w:pPr>
              <w:jc w:val="both"/>
              <w:rPr>
                <w:b/>
                <w:sz w:val="22"/>
              </w:rPr>
            </w:pPr>
          </w:p>
        </w:tc>
        <w:tc>
          <w:tcPr>
            <w:tcW w:w="1800" w:type="dxa"/>
            <w:tcBorders>
              <w:top w:val="single" w:sz="4" w:space="0" w:color="auto"/>
              <w:bottom w:val="double" w:sz="4" w:space="0" w:color="auto"/>
            </w:tcBorders>
          </w:tcPr>
          <w:p w:rsidR="00143AF2" w:rsidRDefault="00057E54" w:rsidP="00787A5E">
            <w:pPr>
              <w:ind w:right="880"/>
              <w:jc w:val="right"/>
              <w:rPr>
                <w:bCs/>
                <w:sz w:val="22"/>
              </w:rPr>
            </w:pPr>
            <w:r>
              <w:rPr>
                <w:bCs/>
                <w:sz w:val="22"/>
              </w:rPr>
              <w:t xml:space="preserve"> 74</w:t>
            </w:r>
          </w:p>
        </w:tc>
        <w:tc>
          <w:tcPr>
            <w:tcW w:w="1620" w:type="dxa"/>
            <w:tcBorders>
              <w:top w:val="single" w:sz="4" w:space="0" w:color="auto"/>
              <w:bottom w:val="double" w:sz="4" w:space="0" w:color="auto"/>
            </w:tcBorders>
          </w:tcPr>
          <w:p w:rsidR="00143AF2" w:rsidRDefault="00057E54" w:rsidP="000A4458">
            <w:pPr>
              <w:ind w:right="440"/>
              <w:rPr>
                <w:bCs/>
                <w:sz w:val="22"/>
              </w:rPr>
            </w:pPr>
            <w:r>
              <w:rPr>
                <w:bCs/>
                <w:sz w:val="22"/>
              </w:rPr>
              <w:t>253</w:t>
            </w:r>
          </w:p>
        </w:tc>
      </w:tr>
      <w:tr w:rsidR="00143AF2">
        <w:tc>
          <w:tcPr>
            <w:tcW w:w="4788" w:type="dxa"/>
          </w:tcPr>
          <w:p w:rsidR="00143AF2" w:rsidRDefault="00143AF2">
            <w:pPr>
              <w:jc w:val="both"/>
              <w:rPr>
                <w:b/>
                <w:sz w:val="22"/>
              </w:rPr>
            </w:pPr>
          </w:p>
        </w:tc>
        <w:tc>
          <w:tcPr>
            <w:tcW w:w="1800" w:type="dxa"/>
            <w:tcBorders>
              <w:top w:val="double" w:sz="4" w:space="0" w:color="auto"/>
            </w:tcBorders>
          </w:tcPr>
          <w:p w:rsidR="00143AF2" w:rsidRDefault="00143AF2">
            <w:pPr>
              <w:jc w:val="both"/>
              <w:rPr>
                <w:b/>
                <w:sz w:val="22"/>
              </w:rPr>
            </w:pPr>
          </w:p>
        </w:tc>
        <w:tc>
          <w:tcPr>
            <w:tcW w:w="1620" w:type="dxa"/>
            <w:tcBorders>
              <w:top w:val="double" w:sz="4" w:space="0" w:color="auto"/>
            </w:tcBorders>
          </w:tcPr>
          <w:p w:rsidR="00143AF2" w:rsidRDefault="00143AF2">
            <w:pPr>
              <w:jc w:val="both"/>
              <w:rPr>
                <w:b/>
                <w:sz w:val="22"/>
              </w:rPr>
            </w:pPr>
          </w:p>
        </w:tc>
      </w:tr>
    </w:tbl>
    <w:p w:rsidR="00D3284C" w:rsidRDefault="00D3284C">
      <w:pPr>
        <w:jc w:val="both"/>
        <w:outlineLvl w:val="0"/>
        <w:rPr>
          <w:b/>
          <w:bCs/>
          <w:sz w:val="22"/>
        </w:rPr>
      </w:pPr>
    </w:p>
    <w:p w:rsidR="00143AF2" w:rsidRPr="0055394B" w:rsidRDefault="00143AF2">
      <w:pPr>
        <w:jc w:val="both"/>
        <w:outlineLvl w:val="0"/>
        <w:rPr>
          <w:b/>
          <w:sz w:val="22"/>
        </w:rPr>
      </w:pPr>
      <w:r w:rsidRPr="0055394B">
        <w:rPr>
          <w:b/>
          <w:bCs/>
          <w:sz w:val="22"/>
        </w:rPr>
        <w:t>B6.</w:t>
      </w:r>
      <w:r w:rsidRPr="0055394B">
        <w:rPr>
          <w:b/>
          <w:bCs/>
          <w:sz w:val="22"/>
        </w:rPr>
        <w:tab/>
      </w:r>
      <w:r w:rsidRPr="0055394B">
        <w:rPr>
          <w:b/>
          <w:sz w:val="22"/>
        </w:rPr>
        <w:t>Profit or Loss from Sales of Unquoted Investments or Properties</w:t>
      </w:r>
    </w:p>
    <w:p w:rsidR="00143AF2" w:rsidRPr="0055394B" w:rsidRDefault="00143AF2">
      <w:pPr>
        <w:ind w:left="720" w:hanging="720"/>
        <w:jc w:val="both"/>
        <w:rPr>
          <w:sz w:val="22"/>
        </w:rPr>
      </w:pPr>
    </w:p>
    <w:p w:rsidR="00D52DDD" w:rsidRDefault="00143AF2" w:rsidP="00D52DDD">
      <w:pPr>
        <w:ind w:left="720" w:hanging="720"/>
        <w:jc w:val="both"/>
        <w:rPr>
          <w:sz w:val="22"/>
        </w:rPr>
      </w:pPr>
      <w:r w:rsidRPr="0055394B">
        <w:rPr>
          <w:sz w:val="22"/>
        </w:rPr>
        <w:tab/>
      </w:r>
      <w:r w:rsidR="00D52DDD">
        <w:rPr>
          <w:sz w:val="22"/>
        </w:rPr>
        <w:t>There were no sales of unquoted investment or properties for the Group.</w:t>
      </w:r>
    </w:p>
    <w:p w:rsidR="00143AF2" w:rsidRDefault="00143AF2">
      <w:pPr>
        <w:ind w:left="720" w:hanging="720"/>
        <w:jc w:val="both"/>
        <w:rPr>
          <w:sz w:val="22"/>
        </w:rPr>
      </w:pPr>
    </w:p>
    <w:p w:rsidR="0017417D" w:rsidRDefault="0017417D">
      <w:pPr>
        <w:ind w:left="720" w:hanging="720"/>
        <w:jc w:val="both"/>
        <w:rPr>
          <w:b/>
          <w:snapToGrid w:val="0"/>
          <w:color w:val="000000"/>
          <w:sz w:val="22"/>
          <w:szCs w:val="22"/>
        </w:rPr>
      </w:pPr>
    </w:p>
    <w:p w:rsidR="00143AF2" w:rsidRDefault="00143AF2">
      <w:pPr>
        <w:ind w:left="720" w:hanging="720"/>
        <w:jc w:val="both"/>
        <w:rPr>
          <w:b/>
          <w:snapToGrid w:val="0"/>
          <w:color w:val="000000"/>
          <w:sz w:val="22"/>
          <w:szCs w:val="22"/>
        </w:rPr>
      </w:pPr>
      <w:r>
        <w:rPr>
          <w:b/>
          <w:snapToGrid w:val="0"/>
          <w:color w:val="000000"/>
          <w:sz w:val="22"/>
          <w:szCs w:val="22"/>
        </w:rPr>
        <w:t>B7.</w:t>
      </w:r>
      <w:r>
        <w:rPr>
          <w:b/>
          <w:snapToGrid w:val="0"/>
          <w:color w:val="000000"/>
          <w:sz w:val="22"/>
          <w:szCs w:val="22"/>
        </w:rPr>
        <w:tab/>
        <w:t>Purchase or disposal of quoted securities</w:t>
      </w:r>
    </w:p>
    <w:p w:rsidR="00143AF2" w:rsidRDefault="00143AF2">
      <w:pPr>
        <w:ind w:left="720"/>
        <w:jc w:val="both"/>
        <w:rPr>
          <w:snapToGrid w:val="0"/>
          <w:color w:val="000000"/>
          <w:sz w:val="22"/>
          <w:szCs w:val="22"/>
        </w:rPr>
      </w:pPr>
    </w:p>
    <w:p w:rsidR="00143AF2" w:rsidRDefault="009B7474" w:rsidP="004F274C">
      <w:pPr>
        <w:ind w:left="720"/>
        <w:jc w:val="both"/>
        <w:outlineLvl w:val="0"/>
        <w:rPr>
          <w:snapToGrid w:val="0"/>
          <w:color w:val="000000"/>
          <w:sz w:val="22"/>
          <w:szCs w:val="22"/>
        </w:rPr>
      </w:pPr>
      <w:r>
        <w:rPr>
          <w:snapToGrid w:val="0"/>
          <w:color w:val="000000"/>
          <w:sz w:val="22"/>
          <w:szCs w:val="22"/>
        </w:rPr>
        <w:t>There is no purchase or disposal of quoted se</w:t>
      </w:r>
      <w:r w:rsidR="004C146D">
        <w:rPr>
          <w:snapToGrid w:val="0"/>
          <w:color w:val="000000"/>
          <w:sz w:val="22"/>
          <w:szCs w:val="22"/>
        </w:rPr>
        <w:t>curities for the current period</w:t>
      </w:r>
      <w:r w:rsidR="00216084">
        <w:rPr>
          <w:snapToGrid w:val="0"/>
          <w:color w:val="000000"/>
          <w:sz w:val="22"/>
          <w:szCs w:val="22"/>
        </w:rPr>
        <w:t xml:space="preserve"> under review</w:t>
      </w:r>
      <w:r>
        <w:rPr>
          <w:snapToGrid w:val="0"/>
          <w:color w:val="000000"/>
          <w:sz w:val="22"/>
          <w:szCs w:val="22"/>
        </w:rPr>
        <w:t>.</w:t>
      </w:r>
    </w:p>
    <w:p w:rsidR="00143AF2" w:rsidRDefault="00143AF2">
      <w:pPr>
        <w:pStyle w:val="BodyText"/>
        <w:tabs>
          <w:tab w:val="clear" w:pos="257"/>
        </w:tabs>
        <w:ind w:left="720" w:hanging="720"/>
        <w:jc w:val="both"/>
        <w:rPr>
          <w:rFonts w:ascii="Times New Roman" w:hAnsi="Times New Roman"/>
          <w:szCs w:val="22"/>
        </w:rPr>
      </w:pPr>
    </w:p>
    <w:p w:rsidR="00143AF2" w:rsidRDefault="00143AF2">
      <w:pPr>
        <w:ind w:left="720" w:hanging="720"/>
        <w:jc w:val="both"/>
        <w:rPr>
          <w:snapToGrid w:val="0"/>
          <w:color w:val="000000"/>
          <w:sz w:val="22"/>
          <w:szCs w:val="22"/>
        </w:rPr>
      </w:pPr>
      <w:r>
        <w:rPr>
          <w:sz w:val="22"/>
          <w:szCs w:val="22"/>
        </w:rPr>
        <w:tab/>
      </w:r>
    </w:p>
    <w:p w:rsidR="00143AF2" w:rsidRDefault="00143AF2">
      <w:pPr>
        <w:ind w:left="720" w:hanging="720"/>
        <w:jc w:val="both"/>
        <w:rPr>
          <w:b/>
          <w:bCs/>
          <w:sz w:val="22"/>
        </w:rPr>
      </w:pPr>
      <w:r>
        <w:rPr>
          <w:b/>
          <w:bCs/>
          <w:sz w:val="22"/>
        </w:rPr>
        <w:t>B8.</w:t>
      </w:r>
      <w:r>
        <w:rPr>
          <w:b/>
          <w:bCs/>
          <w:sz w:val="22"/>
        </w:rPr>
        <w:tab/>
        <w:t>Corporate Proposal and Utilisation of Proceeds</w:t>
      </w:r>
    </w:p>
    <w:p w:rsidR="00143AF2" w:rsidRDefault="00143AF2">
      <w:pPr>
        <w:ind w:left="720" w:hanging="720"/>
        <w:jc w:val="both"/>
        <w:rPr>
          <w:b/>
          <w:bCs/>
          <w:sz w:val="22"/>
        </w:rPr>
      </w:pPr>
    </w:p>
    <w:p w:rsidR="0021318B" w:rsidRDefault="0021318B" w:rsidP="0021318B">
      <w:pPr>
        <w:ind w:left="709"/>
        <w:jc w:val="both"/>
        <w:rPr>
          <w:sz w:val="22"/>
          <w:szCs w:val="22"/>
        </w:rPr>
      </w:pPr>
      <w:r>
        <w:rPr>
          <w:sz w:val="22"/>
        </w:rPr>
        <w:t xml:space="preserve">In the period under review, Stone Master Corporation Berhad (“the Company”) has on 16 July 2013 made an announcement to the Bursa Securities to propose to undertake a </w:t>
      </w:r>
      <w:r>
        <w:rPr>
          <w:sz w:val="22"/>
          <w:szCs w:val="22"/>
        </w:rPr>
        <w:t>Private P</w:t>
      </w:r>
      <w:r w:rsidRPr="00233929">
        <w:rPr>
          <w:sz w:val="22"/>
          <w:szCs w:val="22"/>
        </w:rPr>
        <w:t>lacement of up to 4,200,</w:t>
      </w:r>
      <w:r>
        <w:rPr>
          <w:sz w:val="22"/>
          <w:szCs w:val="22"/>
        </w:rPr>
        <w:t>000 of new ordinary shares of RM</w:t>
      </w:r>
      <w:r w:rsidRPr="00233929">
        <w:rPr>
          <w:sz w:val="22"/>
          <w:szCs w:val="22"/>
        </w:rPr>
        <w:t xml:space="preserve">0.50 each in </w:t>
      </w:r>
      <w:r>
        <w:rPr>
          <w:sz w:val="22"/>
          <w:szCs w:val="22"/>
        </w:rPr>
        <w:t>the Company (“Placement S</w:t>
      </w:r>
      <w:r w:rsidRPr="00233929">
        <w:rPr>
          <w:sz w:val="22"/>
          <w:szCs w:val="22"/>
        </w:rPr>
        <w:t xml:space="preserve">hares”), representing up to ten percent (10%) of the issued and paid-up share capital of </w:t>
      </w:r>
      <w:r>
        <w:rPr>
          <w:sz w:val="22"/>
          <w:szCs w:val="22"/>
        </w:rPr>
        <w:t xml:space="preserve">the Company </w:t>
      </w:r>
      <w:r w:rsidRPr="00233929">
        <w:rPr>
          <w:sz w:val="22"/>
          <w:szCs w:val="22"/>
        </w:rPr>
        <w:t>at an issue price to be d</w:t>
      </w:r>
      <w:r>
        <w:rPr>
          <w:sz w:val="22"/>
          <w:szCs w:val="22"/>
        </w:rPr>
        <w:t>etermined and announce later (“Proposed Private P</w:t>
      </w:r>
      <w:r w:rsidRPr="00233929">
        <w:rPr>
          <w:sz w:val="22"/>
          <w:szCs w:val="22"/>
        </w:rPr>
        <w:t>lacement”)</w:t>
      </w:r>
      <w:r>
        <w:rPr>
          <w:sz w:val="22"/>
          <w:szCs w:val="22"/>
        </w:rPr>
        <w:t xml:space="preserve"> to the Bursa Securities. T</w:t>
      </w:r>
      <w:r w:rsidRPr="00233929">
        <w:rPr>
          <w:sz w:val="22"/>
          <w:szCs w:val="22"/>
        </w:rPr>
        <w:t xml:space="preserve">he Proposed Private Placement is expected to raise </w:t>
      </w:r>
      <w:r>
        <w:rPr>
          <w:sz w:val="22"/>
          <w:szCs w:val="22"/>
        </w:rPr>
        <w:t>a gross proceeds of RM2,562</w:t>
      </w:r>
      <w:r w:rsidRPr="00233929">
        <w:rPr>
          <w:sz w:val="22"/>
          <w:szCs w:val="22"/>
        </w:rPr>
        <w:t>,000</w:t>
      </w:r>
      <w:r w:rsidR="000C7D2E">
        <w:rPr>
          <w:sz w:val="22"/>
          <w:szCs w:val="22"/>
        </w:rPr>
        <w:t xml:space="preserve"> </w:t>
      </w:r>
      <w:r w:rsidRPr="00233929">
        <w:rPr>
          <w:sz w:val="22"/>
          <w:szCs w:val="22"/>
        </w:rPr>
        <w:t xml:space="preserve">(“Placement Proceeds”) and that the Placement Proceeds are </w:t>
      </w:r>
      <w:r>
        <w:rPr>
          <w:sz w:val="22"/>
          <w:szCs w:val="22"/>
        </w:rPr>
        <w:t>proposed to be utiliz</w:t>
      </w:r>
      <w:r w:rsidRPr="00233929">
        <w:rPr>
          <w:sz w:val="22"/>
          <w:szCs w:val="22"/>
        </w:rPr>
        <w:t>ed by the Company in the manner set out below:-</w:t>
      </w:r>
    </w:p>
    <w:tbl>
      <w:tblPr>
        <w:tblW w:w="0" w:type="auto"/>
        <w:tblInd w:w="817" w:type="dxa"/>
        <w:tblLook w:val="0400"/>
      </w:tblPr>
      <w:tblGrid>
        <w:gridCol w:w="3663"/>
        <w:gridCol w:w="2858"/>
        <w:gridCol w:w="2126"/>
      </w:tblGrid>
      <w:tr w:rsidR="0021318B" w:rsidRPr="00233929" w:rsidTr="00C5624D">
        <w:tc>
          <w:tcPr>
            <w:tcW w:w="3663" w:type="dxa"/>
            <w:shd w:val="clear" w:color="auto" w:fill="auto"/>
            <w:vAlign w:val="center"/>
          </w:tcPr>
          <w:p w:rsidR="0021318B" w:rsidRPr="00233929" w:rsidRDefault="0021318B" w:rsidP="00C5624D">
            <w:pPr>
              <w:ind w:left="-108"/>
              <w:rPr>
                <w:rFonts w:eastAsia="SimSun"/>
                <w:sz w:val="21"/>
                <w:szCs w:val="21"/>
              </w:rPr>
            </w:pPr>
            <w:r>
              <w:rPr>
                <w:rFonts w:eastAsia="SimSun"/>
                <w:sz w:val="21"/>
                <w:szCs w:val="21"/>
              </w:rPr>
              <w:t>Details of Utiliz</w:t>
            </w:r>
            <w:r w:rsidRPr="00233929">
              <w:rPr>
                <w:rFonts w:eastAsia="SimSun"/>
                <w:sz w:val="21"/>
                <w:szCs w:val="21"/>
              </w:rPr>
              <w:t>ation</w:t>
            </w:r>
          </w:p>
        </w:tc>
        <w:tc>
          <w:tcPr>
            <w:tcW w:w="2858" w:type="dxa"/>
            <w:shd w:val="clear" w:color="auto" w:fill="auto"/>
            <w:vAlign w:val="center"/>
          </w:tcPr>
          <w:p w:rsidR="0021318B" w:rsidRPr="00233929" w:rsidRDefault="0021318B" w:rsidP="00C5624D">
            <w:pPr>
              <w:jc w:val="right"/>
              <w:rPr>
                <w:rFonts w:eastAsia="SimSun"/>
                <w:sz w:val="21"/>
                <w:szCs w:val="21"/>
              </w:rPr>
            </w:pPr>
            <w:r w:rsidRPr="00233929">
              <w:rPr>
                <w:rFonts w:eastAsia="SimSun"/>
                <w:sz w:val="21"/>
                <w:szCs w:val="21"/>
              </w:rPr>
              <w:t>Expected time frame for utilization of proceeds (from the date of listing of the Placement Shares)</w:t>
            </w:r>
          </w:p>
        </w:tc>
        <w:tc>
          <w:tcPr>
            <w:tcW w:w="2126" w:type="dxa"/>
            <w:shd w:val="clear" w:color="auto" w:fill="auto"/>
            <w:vAlign w:val="center"/>
          </w:tcPr>
          <w:p w:rsidR="0021318B" w:rsidRPr="00233929" w:rsidRDefault="0021318B" w:rsidP="00C5624D">
            <w:pPr>
              <w:jc w:val="right"/>
              <w:rPr>
                <w:rFonts w:eastAsia="SimSun"/>
                <w:sz w:val="21"/>
                <w:szCs w:val="21"/>
              </w:rPr>
            </w:pPr>
            <w:r w:rsidRPr="00233929">
              <w:rPr>
                <w:rFonts w:eastAsia="SimSun"/>
                <w:sz w:val="21"/>
                <w:szCs w:val="21"/>
              </w:rPr>
              <w:t>Amount of Proceeds (RM)</w:t>
            </w:r>
          </w:p>
        </w:tc>
      </w:tr>
      <w:tr w:rsidR="0021318B" w:rsidRPr="00233929" w:rsidTr="00C5624D">
        <w:tc>
          <w:tcPr>
            <w:tcW w:w="3663" w:type="dxa"/>
            <w:shd w:val="clear" w:color="auto" w:fill="auto"/>
          </w:tcPr>
          <w:p w:rsidR="0021318B" w:rsidRPr="00233929" w:rsidRDefault="0021318B" w:rsidP="00C5624D">
            <w:pPr>
              <w:ind w:left="-108"/>
              <w:rPr>
                <w:rFonts w:eastAsia="SimSun"/>
                <w:sz w:val="21"/>
                <w:szCs w:val="21"/>
              </w:rPr>
            </w:pPr>
            <w:r w:rsidRPr="00233929">
              <w:rPr>
                <w:rFonts w:eastAsia="SimSun"/>
                <w:sz w:val="21"/>
                <w:szCs w:val="21"/>
              </w:rPr>
              <w:t>General working capital requirements</w:t>
            </w:r>
          </w:p>
        </w:tc>
        <w:tc>
          <w:tcPr>
            <w:tcW w:w="2858" w:type="dxa"/>
            <w:shd w:val="clear" w:color="auto" w:fill="auto"/>
            <w:vAlign w:val="center"/>
          </w:tcPr>
          <w:p w:rsidR="0021318B" w:rsidRPr="00233929" w:rsidRDefault="0021318B" w:rsidP="00C5624D">
            <w:pPr>
              <w:ind w:left="-108"/>
              <w:jc w:val="right"/>
              <w:rPr>
                <w:rFonts w:eastAsia="SimSun"/>
                <w:sz w:val="21"/>
                <w:szCs w:val="21"/>
              </w:rPr>
            </w:pPr>
            <w:r w:rsidRPr="00233929">
              <w:rPr>
                <w:rFonts w:eastAsia="SimSun"/>
                <w:sz w:val="21"/>
                <w:szCs w:val="21"/>
              </w:rPr>
              <w:t>Within twelve (12) months</w:t>
            </w:r>
          </w:p>
        </w:tc>
        <w:tc>
          <w:tcPr>
            <w:tcW w:w="2126" w:type="dxa"/>
            <w:shd w:val="clear" w:color="auto" w:fill="auto"/>
            <w:vAlign w:val="center"/>
          </w:tcPr>
          <w:p w:rsidR="0021318B" w:rsidRPr="00233929" w:rsidRDefault="0021318B" w:rsidP="00C5624D">
            <w:pPr>
              <w:ind w:left="-108"/>
              <w:jc w:val="right"/>
              <w:rPr>
                <w:sz w:val="21"/>
                <w:szCs w:val="21"/>
              </w:rPr>
            </w:pPr>
            <w:r w:rsidRPr="00233929">
              <w:rPr>
                <w:sz w:val="21"/>
                <w:szCs w:val="21"/>
              </w:rPr>
              <w:t>2,</w:t>
            </w:r>
            <w:r>
              <w:rPr>
                <w:sz w:val="21"/>
                <w:szCs w:val="21"/>
              </w:rPr>
              <w:t>462</w:t>
            </w:r>
            <w:r w:rsidRPr="00233929">
              <w:rPr>
                <w:sz w:val="21"/>
                <w:szCs w:val="21"/>
              </w:rPr>
              <w:t>,000</w:t>
            </w:r>
          </w:p>
        </w:tc>
      </w:tr>
      <w:tr w:rsidR="0021318B" w:rsidRPr="00233929" w:rsidTr="00C5624D">
        <w:tc>
          <w:tcPr>
            <w:tcW w:w="3663" w:type="dxa"/>
            <w:shd w:val="clear" w:color="auto" w:fill="auto"/>
          </w:tcPr>
          <w:p w:rsidR="0021318B" w:rsidRPr="00233929" w:rsidRDefault="0021318B" w:rsidP="00C5624D">
            <w:pPr>
              <w:ind w:left="-108"/>
              <w:rPr>
                <w:rFonts w:eastAsia="SimSun"/>
                <w:sz w:val="21"/>
                <w:szCs w:val="21"/>
              </w:rPr>
            </w:pPr>
            <w:r w:rsidRPr="00233929">
              <w:rPr>
                <w:rFonts w:eastAsia="SimSun"/>
                <w:sz w:val="21"/>
                <w:szCs w:val="21"/>
              </w:rPr>
              <w:t>Defraying of expenses incidental to the Proposed Private Placement</w:t>
            </w:r>
          </w:p>
        </w:tc>
        <w:tc>
          <w:tcPr>
            <w:tcW w:w="2858" w:type="dxa"/>
            <w:shd w:val="clear" w:color="auto" w:fill="auto"/>
          </w:tcPr>
          <w:p w:rsidR="0021318B" w:rsidRPr="00233929" w:rsidRDefault="0021318B" w:rsidP="00C5624D">
            <w:pPr>
              <w:ind w:left="-108"/>
              <w:jc w:val="right"/>
              <w:rPr>
                <w:rFonts w:eastAsia="SimSun"/>
                <w:sz w:val="21"/>
                <w:szCs w:val="21"/>
              </w:rPr>
            </w:pPr>
            <w:r w:rsidRPr="00233929">
              <w:rPr>
                <w:rFonts w:eastAsia="SimSun"/>
                <w:sz w:val="21"/>
                <w:szCs w:val="21"/>
              </w:rPr>
              <w:t>Within one (1) month</w:t>
            </w:r>
          </w:p>
        </w:tc>
        <w:tc>
          <w:tcPr>
            <w:tcW w:w="2126" w:type="dxa"/>
            <w:tcBorders>
              <w:bottom w:val="single" w:sz="4" w:space="0" w:color="auto"/>
            </w:tcBorders>
            <w:shd w:val="clear" w:color="auto" w:fill="auto"/>
          </w:tcPr>
          <w:p w:rsidR="0021318B" w:rsidRPr="00233929" w:rsidRDefault="0021318B" w:rsidP="00C5624D">
            <w:pPr>
              <w:ind w:left="-108"/>
              <w:jc w:val="right"/>
              <w:rPr>
                <w:sz w:val="21"/>
                <w:szCs w:val="21"/>
              </w:rPr>
            </w:pPr>
            <w:r w:rsidRPr="00233929">
              <w:rPr>
                <w:sz w:val="21"/>
                <w:szCs w:val="21"/>
              </w:rPr>
              <w:t>100,000</w:t>
            </w:r>
          </w:p>
        </w:tc>
      </w:tr>
      <w:tr w:rsidR="0021318B" w:rsidRPr="00233929" w:rsidTr="00C5624D">
        <w:tc>
          <w:tcPr>
            <w:tcW w:w="3663" w:type="dxa"/>
            <w:shd w:val="clear" w:color="auto" w:fill="auto"/>
          </w:tcPr>
          <w:p w:rsidR="0021318B" w:rsidRPr="00233929" w:rsidRDefault="0021318B" w:rsidP="00C5624D">
            <w:pPr>
              <w:ind w:left="-108"/>
              <w:rPr>
                <w:rFonts w:eastAsia="SimSun"/>
                <w:sz w:val="21"/>
                <w:szCs w:val="21"/>
              </w:rPr>
            </w:pPr>
            <w:r w:rsidRPr="00233929">
              <w:rPr>
                <w:rFonts w:eastAsia="SimSun"/>
                <w:sz w:val="21"/>
                <w:szCs w:val="21"/>
              </w:rPr>
              <w:t>Total Proceed</w:t>
            </w:r>
          </w:p>
        </w:tc>
        <w:tc>
          <w:tcPr>
            <w:tcW w:w="2858" w:type="dxa"/>
            <w:shd w:val="clear" w:color="auto" w:fill="auto"/>
            <w:vAlign w:val="center"/>
          </w:tcPr>
          <w:p w:rsidR="0021318B" w:rsidRPr="00233929" w:rsidRDefault="0021318B" w:rsidP="00C5624D">
            <w:pPr>
              <w:ind w:left="-108"/>
              <w:jc w:val="right"/>
              <w:rPr>
                <w:rFonts w:eastAsia="SimSun"/>
                <w:sz w:val="21"/>
                <w:szCs w:val="21"/>
              </w:rPr>
            </w:pPr>
          </w:p>
        </w:tc>
        <w:tc>
          <w:tcPr>
            <w:tcW w:w="2126" w:type="dxa"/>
            <w:tcBorders>
              <w:top w:val="single" w:sz="4" w:space="0" w:color="auto"/>
              <w:bottom w:val="double" w:sz="4" w:space="0" w:color="auto"/>
            </w:tcBorders>
            <w:shd w:val="clear" w:color="auto" w:fill="auto"/>
            <w:vAlign w:val="center"/>
          </w:tcPr>
          <w:p w:rsidR="0021318B" w:rsidRPr="00233929" w:rsidRDefault="0021318B" w:rsidP="00C5624D">
            <w:pPr>
              <w:ind w:left="-108"/>
              <w:jc w:val="right"/>
              <w:rPr>
                <w:sz w:val="21"/>
                <w:szCs w:val="21"/>
              </w:rPr>
            </w:pPr>
            <w:r>
              <w:rPr>
                <w:sz w:val="21"/>
                <w:szCs w:val="21"/>
              </w:rPr>
              <w:t>2,562</w:t>
            </w:r>
            <w:r w:rsidRPr="00233929">
              <w:rPr>
                <w:sz w:val="21"/>
                <w:szCs w:val="21"/>
              </w:rPr>
              <w:t>,000</w:t>
            </w:r>
          </w:p>
        </w:tc>
      </w:tr>
    </w:tbl>
    <w:p w:rsidR="0021318B" w:rsidRPr="00527796" w:rsidRDefault="0021318B" w:rsidP="0021318B">
      <w:pPr>
        <w:pStyle w:val="BodyText"/>
        <w:tabs>
          <w:tab w:val="clear" w:pos="257"/>
        </w:tabs>
        <w:ind w:left="567" w:firstLine="142"/>
        <w:rPr>
          <w:rFonts w:ascii="Times New Roman" w:hAnsi="Times New Roman"/>
          <w:bCs/>
          <w:i/>
          <w:sz w:val="20"/>
        </w:rPr>
      </w:pPr>
      <w:r w:rsidRPr="00527796">
        <w:rPr>
          <w:rFonts w:ascii="Times New Roman" w:hAnsi="Times New Roman"/>
          <w:bCs/>
          <w:i/>
          <w:sz w:val="20"/>
        </w:rPr>
        <w:t>*For further details, please refer to Bursa’ Announcement dated 16 July 2013.</w:t>
      </w:r>
    </w:p>
    <w:p w:rsidR="00143AF2" w:rsidRDefault="00143AF2"/>
    <w:p w:rsidR="0074671F" w:rsidRPr="0074671F" w:rsidRDefault="0074671F" w:rsidP="0074671F"/>
    <w:p w:rsidR="00143AF2" w:rsidRDefault="00143AF2">
      <w:pPr>
        <w:pStyle w:val="Heading5"/>
        <w:ind w:hanging="720"/>
      </w:pPr>
      <w:r>
        <w:t>B9.</w:t>
      </w:r>
      <w:r>
        <w:tab/>
        <w:t>Group Borrowings and Debt Securities</w:t>
      </w:r>
    </w:p>
    <w:p w:rsidR="00585F33" w:rsidRPr="00585F33" w:rsidRDefault="00585F33" w:rsidP="00585F33"/>
    <w:p w:rsidR="00143AF2" w:rsidRDefault="00143AF2" w:rsidP="00B55F68">
      <w:pPr>
        <w:rPr>
          <w:sz w:val="22"/>
        </w:rPr>
      </w:pPr>
      <w:r>
        <w:tab/>
      </w:r>
      <w:r>
        <w:rPr>
          <w:sz w:val="22"/>
        </w:rPr>
        <w:t xml:space="preserve">The total </w:t>
      </w:r>
      <w:r w:rsidR="008B0690">
        <w:rPr>
          <w:sz w:val="22"/>
        </w:rPr>
        <w:t xml:space="preserve">Group’s borrowings as </w:t>
      </w:r>
      <w:r w:rsidR="00485D78">
        <w:rPr>
          <w:sz w:val="22"/>
        </w:rPr>
        <w:t>at 3</w:t>
      </w:r>
      <w:r w:rsidR="004C1435">
        <w:rPr>
          <w:sz w:val="22"/>
        </w:rPr>
        <w:t>0 September</w:t>
      </w:r>
      <w:r w:rsidR="000C7D2E">
        <w:rPr>
          <w:sz w:val="22"/>
        </w:rPr>
        <w:t xml:space="preserve"> </w:t>
      </w:r>
      <w:r w:rsidR="00EF5CC0">
        <w:rPr>
          <w:sz w:val="22"/>
        </w:rPr>
        <w:t>201</w:t>
      </w:r>
      <w:r w:rsidR="00E5086A">
        <w:rPr>
          <w:sz w:val="22"/>
        </w:rPr>
        <w:t>3</w:t>
      </w:r>
      <w:r>
        <w:rPr>
          <w:sz w:val="22"/>
        </w:rPr>
        <w:t xml:space="preserve"> are as follows:-</w:t>
      </w:r>
    </w:p>
    <w:tbl>
      <w:tblPr>
        <w:tblW w:w="6660" w:type="dxa"/>
        <w:tblInd w:w="828" w:type="dxa"/>
        <w:tblLook w:val="0000"/>
      </w:tblPr>
      <w:tblGrid>
        <w:gridCol w:w="2464"/>
        <w:gridCol w:w="1433"/>
        <w:gridCol w:w="1323"/>
        <w:gridCol w:w="1440"/>
      </w:tblGrid>
      <w:tr w:rsidR="00143AF2">
        <w:tc>
          <w:tcPr>
            <w:tcW w:w="2464" w:type="dxa"/>
            <w:vAlign w:val="bottom"/>
          </w:tcPr>
          <w:p w:rsidR="00143AF2" w:rsidRDefault="00143AF2" w:rsidP="00174836">
            <w:pPr>
              <w:ind w:firstLine="72"/>
              <w:jc w:val="both"/>
              <w:rPr>
                <w:sz w:val="22"/>
              </w:rPr>
            </w:pPr>
            <w:r>
              <w:rPr>
                <w:sz w:val="22"/>
              </w:rPr>
              <w:tab/>
            </w: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7A2B38">
            <w:pPr>
              <w:ind w:leftChars="-54" w:hangingChars="54" w:hanging="108"/>
              <w:jc w:val="both"/>
            </w:pPr>
            <w:r>
              <w:t>Secured :-</w:t>
            </w:r>
          </w:p>
          <w:p w:rsidR="00143AF2" w:rsidRDefault="00143AF2" w:rsidP="00174836">
            <w:pPr>
              <w:ind w:firstLine="72"/>
              <w:jc w:val="both"/>
            </w:pPr>
            <w:r>
              <w:t xml:space="preserve"> Bank Overdrafts </w:t>
            </w:r>
          </w:p>
        </w:tc>
        <w:tc>
          <w:tcPr>
            <w:tcW w:w="1433" w:type="dxa"/>
          </w:tcPr>
          <w:p w:rsidR="00143AF2" w:rsidRDefault="00143AF2">
            <w:pPr>
              <w:jc w:val="right"/>
              <w:rPr>
                <w:b/>
                <w:bCs/>
              </w:rPr>
            </w:pPr>
          </w:p>
          <w:p w:rsidR="00143AF2" w:rsidRDefault="00143AF2">
            <w:pPr>
              <w:jc w:val="right"/>
              <w:rPr>
                <w:b/>
                <w:bCs/>
              </w:rPr>
            </w:pPr>
            <w:r>
              <w:rPr>
                <w:b/>
                <w:bCs/>
              </w:rPr>
              <w:t>Short Term</w:t>
            </w:r>
          </w:p>
          <w:p w:rsidR="00143AF2" w:rsidRDefault="00143AF2">
            <w:pPr>
              <w:jc w:val="right"/>
              <w:rPr>
                <w:b/>
                <w:bCs/>
              </w:rPr>
            </w:pPr>
            <w:r>
              <w:rPr>
                <w:b/>
                <w:bCs/>
              </w:rPr>
              <w:t>Borrowings</w:t>
            </w:r>
          </w:p>
          <w:p w:rsidR="00143AF2" w:rsidRDefault="00143AF2">
            <w:pPr>
              <w:jc w:val="right"/>
              <w:rPr>
                <w:b/>
                <w:bCs/>
              </w:rPr>
            </w:pPr>
            <w:r>
              <w:rPr>
                <w:b/>
                <w:bCs/>
              </w:rPr>
              <w:t>(Less than 12</w:t>
            </w:r>
          </w:p>
          <w:p w:rsidR="00143AF2" w:rsidRDefault="00143AF2">
            <w:pPr>
              <w:jc w:val="right"/>
              <w:rPr>
                <w:b/>
                <w:bCs/>
              </w:rPr>
            </w:pPr>
            <w:r>
              <w:rPr>
                <w:b/>
                <w:bCs/>
              </w:rPr>
              <w:t>months)</w:t>
            </w:r>
          </w:p>
          <w:p w:rsidR="00143AF2" w:rsidRDefault="00143AF2">
            <w:pPr>
              <w:pStyle w:val="StyleRight"/>
            </w:pPr>
          </w:p>
          <w:p w:rsidR="00143AF2" w:rsidRDefault="00143AF2">
            <w:pPr>
              <w:pStyle w:val="StyleRight"/>
            </w:pPr>
            <w:r>
              <w:t>RM`000</w:t>
            </w:r>
          </w:p>
          <w:p w:rsidR="00143AF2" w:rsidRDefault="00143AF2">
            <w:pPr>
              <w:jc w:val="center"/>
            </w:pPr>
          </w:p>
          <w:p w:rsidR="00143AF2" w:rsidRDefault="00621F02">
            <w:pPr>
              <w:pStyle w:val="Footer"/>
              <w:tabs>
                <w:tab w:val="clear" w:pos="4320"/>
                <w:tab w:val="clear" w:pos="8640"/>
              </w:tabs>
              <w:jc w:val="right"/>
            </w:pPr>
            <w:r>
              <w:t>2</w:t>
            </w:r>
            <w:r w:rsidR="00C712DA">
              <w:t>,</w:t>
            </w:r>
            <w:r w:rsidR="00B37895">
              <w:t>317</w:t>
            </w:r>
          </w:p>
        </w:tc>
        <w:tc>
          <w:tcPr>
            <w:tcW w:w="1323" w:type="dxa"/>
          </w:tcPr>
          <w:p w:rsidR="00143AF2" w:rsidRDefault="00143AF2">
            <w:pPr>
              <w:pStyle w:val="Footer"/>
              <w:tabs>
                <w:tab w:val="clear" w:pos="4320"/>
                <w:tab w:val="clear" w:pos="8640"/>
              </w:tabs>
              <w:jc w:val="right"/>
              <w:rPr>
                <w:b/>
                <w:bCs/>
              </w:rPr>
            </w:pPr>
          </w:p>
          <w:p w:rsidR="00143AF2" w:rsidRDefault="00143AF2">
            <w:pPr>
              <w:pStyle w:val="Footer"/>
              <w:tabs>
                <w:tab w:val="clear" w:pos="4320"/>
                <w:tab w:val="clear" w:pos="8640"/>
              </w:tabs>
              <w:jc w:val="right"/>
              <w:rPr>
                <w:b/>
                <w:bCs/>
              </w:rPr>
            </w:pPr>
            <w:r>
              <w:rPr>
                <w:b/>
                <w:bCs/>
              </w:rPr>
              <w:t>Long Term Borrowings</w:t>
            </w:r>
          </w:p>
          <w:p w:rsidR="00143AF2" w:rsidRDefault="00143AF2">
            <w:pPr>
              <w:pStyle w:val="Footer"/>
              <w:tabs>
                <w:tab w:val="clear" w:pos="4320"/>
                <w:tab w:val="clear" w:pos="8640"/>
              </w:tabs>
              <w:jc w:val="right"/>
              <w:rPr>
                <w:b/>
                <w:bCs/>
              </w:rPr>
            </w:pPr>
            <w:r>
              <w:rPr>
                <w:b/>
                <w:bCs/>
              </w:rPr>
              <w:t>(More than 12 months)</w:t>
            </w:r>
          </w:p>
          <w:p w:rsidR="00143AF2" w:rsidRDefault="00143AF2">
            <w:pPr>
              <w:pStyle w:val="Footer"/>
              <w:tabs>
                <w:tab w:val="clear" w:pos="4320"/>
                <w:tab w:val="clear" w:pos="8640"/>
              </w:tabs>
              <w:jc w:val="right"/>
            </w:pPr>
          </w:p>
          <w:p w:rsidR="00143AF2" w:rsidRDefault="00143AF2">
            <w:pPr>
              <w:pStyle w:val="Footer"/>
              <w:tabs>
                <w:tab w:val="clear" w:pos="4320"/>
                <w:tab w:val="clear" w:pos="8640"/>
              </w:tabs>
              <w:jc w:val="right"/>
            </w:pPr>
            <w:r>
              <w:t>RM`000</w:t>
            </w:r>
          </w:p>
          <w:p w:rsidR="00143AF2" w:rsidRDefault="00143AF2">
            <w:pPr>
              <w:pStyle w:val="Footer"/>
              <w:tabs>
                <w:tab w:val="clear" w:pos="4320"/>
                <w:tab w:val="clear" w:pos="8640"/>
              </w:tabs>
              <w:jc w:val="right"/>
            </w:pPr>
          </w:p>
          <w:p w:rsidR="00143AF2" w:rsidRDefault="00143AF2">
            <w:pPr>
              <w:pStyle w:val="Footer"/>
              <w:tabs>
                <w:tab w:val="clear" w:pos="4320"/>
                <w:tab w:val="clear" w:pos="8640"/>
              </w:tabs>
              <w:jc w:val="right"/>
            </w:pPr>
            <w:r>
              <w:t xml:space="preserve">           -</w:t>
            </w:r>
          </w:p>
        </w:tc>
        <w:tc>
          <w:tcPr>
            <w:tcW w:w="1440" w:type="dxa"/>
            <w:vAlign w:val="bottom"/>
          </w:tcPr>
          <w:p w:rsidR="00143AF2" w:rsidRDefault="00143AF2" w:rsidP="00174836">
            <w:pPr>
              <w:jc w:val="right"/>
              <w:rPr>
                <w:sz w:val="22"/>
              </w:rPr>
            </w:pPr>
          </w:p>
          <w:p w:rsidR="00143AF2" w:rsidRDefault="00143AF2" w:rsidP="00174836">
            <w:pPr>
              <w:jc w:val="right"/>
              <w:rPr>
                <w:sz w:val="22"/>
              </w:rPr>
            </w:pPr>
          </w:p>
          <w:p w:rsidR="00143AF2" w:rsidRDefault="00143AF2" w:rsidP="00174836">
            <w:pPr>
              <w:pStyle w:val="Footer"/>
              <w:tabs>
                <w:tab w:val="clear" w:pos="4320"/>
                <w:tab w:val="clear" w:pos="8640"/>
              </w:tabs>
              <w:jc w:val="right"/>
              <w:rPr>
                <w:b/>
                <w:bCs/>
              </w:rPr>
            </w:pPr>
            <w:r>
              <w:rPr>
                <w:b/>
                <w:bCs/>
              </w:rPr>
              <w:t>Total</w:t>
            </w:r>
          </w:p>
          <w:p w:rsidR="00143AF2" w:rsidRDefault="00143AF2" w:rsidP="00174836">
            <w:pPr>
              <w:jc w:val="right"/>
              <w:rPr>
                <w:sz w:val="22"/>
              </w:rPr>
            </w:pPr>
          </w:p>
          <w:p w:rsidR="00143AF2" w:rsidRDefault="00143AF2" w:rsidP="00174836">
            <w:pPr>
              <w:pStyle w:val="Footer"/>
              <w:tabs>
                <w:tab w:val="clear" w:pos="4320"/>
                <w:tab w:val="clear" w:pos="8640"/>
              </w:tabs>
              <w:jc w:val="right"/>
            </w:pPr>
          </w:p>
          <w:p w:rsidR="00143AF2" w:rsidRDefault="00143AF2" w:rsidP="00174836">
            <w:pPr>
              <w:pStyle w:val="Footer"/>
              <w:tabs>
                <w:tab w:val="clear" w:pos="4320"/>
                <w:tab w:val="clear" w:pos="8640"/>
              </w:tabs>
              <w:jc w:val="right"/>
            </w:pPr>
            <w:r>
              <w:t>RM`000</w:t>
            </w:r>
          </w:p>
          <w:p w:rsidR="00143AF2" w:rsidRDefault="00143AF2" w:rsidP="00174836">
            <w:pPr>
              <w:pStyle w:val="StyleRight"/>
            </w:pPr>
          </w:p>
          <w:p w:rsidR="00143AF2" w:rsidRDefault="006F38D7" w:rsidP="00174836">
            <w:pPr>
              <w:pStyle w:val="Footer"/>
              <w:tabs>
                <w:tab w:val="center" w:pos="612"/>
                <w:tab w:val="right" w:pos="1224"/>
              </w:tabs>
              <w:jc w:val="right"/>
            </w:pPr>
            <w:r>
              <w:tab/>
            </w:r>
            <w:r>
              <w:tab/>
            </w:r>
            <w:r w:rsidR="00075110">
              <w:t>2,317</w:t>
            </w:r>
          </w:p>
        </w:tc>
      </w:tr>
      <w:tr w:rsidR="00143AF2">
        <w:tc>
          <w:tcPr>
            <w:tcW w:w="2464" w:type="dxa"/>
          </w:tcPr>
          <w:p w:rsidR="00143AF2" w:rsidRDefault="00336F3B" w:rsidP="00336F3B">
            <w:pPr>
              <w:pStyle w:val="Footer"/>
              <w:tabs>
                <w:tab w:val="clear" w:pos="4320"/>
                <w:tab w:val="clear" w:pos="8640"/>
              </w:tabs>
            </w:pPr>
            <w:r>
              <w:t>Trade Bills Payable</w:t>
            </w:r>
          </w:p>
        </w:tc>
        <w:tc>
          <w:tcPr>
            <w:tcW w:w="1433" w:type="dxa"/>
          </w:tcPr>
          <w:p w:rsidR="00143AF2" w:rsidRDefault="00075110">
            <w:pPr>
              <w:pStyle w:val="StyleRight"/>
            </w:pPr>
            <w:r>
              <w:t>8,90</w:t>
            </w:r>
            <w:r w:rsidR="00057E54">
              <w:t>7</w:t>
            </w:r>
          </w:p>
        </w:tc>
        <w:tc>
          <w:tcPr>
            <w:tcW w:w="1323" w:type="dxa"/>
          </w:tcPr>
          <w:p w:rsidR="00143AF2" w:rsidRDefault="00143AF2">
            <w:pPr>
              <w:jc w:val="right"/>
              <w:rPr>
                <w:sz w:val="22"/>
              </w:rPr>
            </w:pPr>
            <w:r>
              <w:rPr>
                <w:sz w:val="22"/>
              </w:rPr>
              <w:t xml:space="preserve">          -</w:t>
            </w:r>
          </w:p>
        </w:tc>
        <w:tc>
          <w:tcPr>
            <w:tcW w:w="1440" w:type="dxa"/>
          </w:tcPr>
          <w:p w:rsidR="00143AF2" w:rsidRDefault="00075110">
            <w:pPr>
              <w:pStyle w:val="StyleRight"/>
            </w:pPr>
            <w:r>
              <w:t>8</w:t>
            </w:r>
            <w:r w:rsidR="00585F33">
              <w:t>,</w:t>
            </w:r>
            <w:r>
              <w:t>90</w:t>
            </w:r>
            <w:r w:rsidR="00057E54">
              <w:t>7</w:t>
            </w:r>
          </w:p>
        </w:tc>
      </w:tr>
      <w:tr w:rsidR="00143AF2">
        <w:tc>
          <w:tcPr>
            <w:tcW w:w="2464" w:type="dxa"/>
          </w:tcPr>
          <w:p w:rsidR="00143AF2" w:rsidRDefault="00143AF2">
            <w:r>
              <w:t>Term Loan</w:t>
            </w:r>
          </w:p>
        </w:tc>
        <w:tc>
          <w:tcPr>
            <w:tcW w:w="1433" w:type="dxa"/>
          </w:tcPr>
          <w:p w:rsidR="00143AF2" w:rsidRDefault="00075110" w:rsidP="002B1C13">
            <w:pPr>
              <w:jc w:val="center"/>
            </w:pPr>
            <w:r>
              <w:t>942</w:t>
            </w:r>
          </w:p>
        </w:tc>
        <w:tc>
          <w:tcPr>
            <w:tcW w:w="1323" w:type="dxa"/>
          </w:tcPr>
          <w:p w:rsidR="00143AF2" w:rsidRDefault="00585F33">
            <w:pPr>
              <w:pStyle w:val="StyleRight"/>
            </w:pPr>
            <w:r>
              <w:t>1</w:t>
            </w:r>
            <w:r w:rsidR="00075110">
              <w:t>3,161</w:t>
            </w:r>
          </w:p>
        </w:tc>
        <w:tc>
          <w:tcPr>
            <w:tcW w:w="1440" w:type="dxa"/>
          </w:tcPr>
          <w:p w:rsidR="00143AF2" w:rsidRDefault="00075110">
            <w:pPr>
              <w:pStyle w:val="StyleRight"/>
            </w:pPr>
            <w:r>
              <w:t>14,103</w:t>
            </w:r>
          </w:p>
        </w:tc>
      </w:tr>
      <w:tr w:rsidR="00143AF2">
        <w:tc>
          <w:tcPr>
            <w:tcW w:w="2464" w:type="dxa"/>
          </w:tcPr>
          <w:p w:rsidR="00143AF2" w:rsidRDefault="00143AF2">
            <w:pPr>
              <w:pStyle w:val="Footer"/>
              <w:tabs>
                <w:tab w:val="clear" w:pos="4320"/>
                <w:tab w:val="clear" w:pos="8640"/>
              </w:tabs>
            </w:pPr>
            <w:r>
              <w:t xml:space="preserve">  Hire Purchase</w:t>
            </w:r>
          </w:p>
        </w:tc>
        <w:tc>
          <w:tcPr>
            <w:tcW w:w="1433" w:type="dxa"/>
          </w:tcPr>
          <w:p w:rsidR="00143AF2" w:rsidRDefault="000A4458">
            <w:pPr>
              <w:jc w:val="right"/>
              <w:rPr>
                <w:u w:val="single"/>
              </w:rPr>
            </w:pPr>
            <w:r>
              <w:rPr>
                <w:u w:val="single"/>
              </w:rPr>
              <w:t>1</w:t>
            </w:r>
            <w:r w:rsidR="00075110">
              <w:rPr>
                <w:u w:val="single"/>
              </w:rPr>
              <w:t>6</w:t>
            </w:r>
            <w:r w:rsidR="00057E54">
              <w:rPr>
                <w:u w:val="single"/>
              </w:rPr>
              <w:t>8</w:t>
            </w:r>
          </w:p>
        </w:tc>
        <w:tc>
          <w:tcPr>
            <w:tcW w:w="1323" w:type="dxa"/>
          </w:tcPr>
          <w:p w:rsidR="00143AF2" w:rsidRDefault="00075110">
            <w:pPr>
              <w:pStyle w:val="StyleRight"/>
              <w:rPr>
                <w:u w:val="single"/>
              </w:rPr>
            </w:pPr>
            <w:r>
              <w:rPr>
                <w:u w:val="single"/>
              </w:rPr>
              <w:t>166</w:t>
            </w:r>
          </w:p>
        </w:tc>
        <w:tc>
          <w:tcPr>
            <w:tcW w:w="1440" w:type="dxa"/>
          </w:tcPr>
          <w:p w:rsidR="00143AF2" w:rsidRDefault="00075110">
            <w:pPr>
              <w:rPr>
                <w:u w:val="single"/>
              </w:rPr>
            </w:pPr>
            <w:r>
              <w:rPr>
                <w:u w:val="single"/>
              </w:rPr>
              <w:t>33</w:t>
            </w:r>
            <w:r w:rsidR="00057E54">
              <w:rPr>
                <w:u w:val="single"/>
              </w:rPr>
              <w:t>4</w:t>
            </w:r>
          </w:p>
        </w:tc>
      </w:tr>
      <w:tr w:rsidR="00143AF2">
        <w:tc>
          <w:tcPr>
            <w:tcW w:w="2464" w:type="dxa"/>
          </w:tcPr>
          <w:p w:rsidR="00143AF2" w:rsidRDefault="00143AF2">
            <w:pPr>
              <w:ind w:firstLine="720"/>
              <w:rPr>
                <w:sz w:val="22"/>
              </w:rPr>
            </w:pPr>
          </w:p>
        </w:tc>
        <w:tc>
          <w:tcPr>
            <w:tcW w:w="1433" w:type="dxa"/>
          </w:tcPr>
          <w:p w:rsidR="00143AF2" w:rsidRDefault="00075110">
            <w:pPr>
              <w:jc w:val="right"/>
              <w:rPr>
                <w:u w:val="single"/>
              </w:rPr>
            </w:pPr>
            <w:r>
              <w:rPr>
                <w:u w:val="single"/>
              </w:rPr>
              <w:t>12,33</w:t>
            </w:r>
            <w:r w:rsidR="00057E54">
              <w:rPr>
                <w:u w:val="single"/>
              </w:rPr>
              <w:t>4</w:t>
            </w:r>
          </w:p>
        </w:tc>
        <w:tc>
          <w:tcPr>
            <w:tcW w:w="1323" w:type="dxa"/>
          </w:tcPr>
          <w:p w:rsidR="00143AF2" w:rsidRDefault="00075110">
            <w:pPr>
              <w:jc w:val="right"/>
              <w:rPr>
                <w:u w:val="single"/>
              </w:rPr>
            </w:pPr>
            <w:r>
              <w:rPr>
                <w:u w:val="single"/>
              </w:rPr>
              <w:t>13,327</w:t>
            </w:r>
          </w:p>
        </w:tc>
        <w:tc>
          <w:tcPr>
            <w:tcW w:w="1440" w:type="dxa"/>
          </w:tcPr>
          <w:p w:rsidR="00143AF2" w:rsidRDefault="00AB1CB9">
            <w:pPr>
              <w:jc w:val="right"/>
              <w:rPr>
                <w:u w:val="single"/>
              </w:rPr>
            </w:pPr>
            <w:r>
              <w:rPr>
                <w:u w:val="single"/>
              </w:rPr>
              <w:t>2</w:t>
            </w:r>
            <w:r w:rsidR="00057E54">
              <w:rPr>
                <w:u w:val="single"/>
              </w:rPr>
              <w:t>5,661</w:t>
            </w:r>
          </w:p>
        </w:tc>
      </w:tr>
      <w:tr w:rsidR="00143AF2">
        <w:tc>
          <w:tcPr>
            <w:tcW w:w="2464" w:type="dxa"/>
          </w:tcPr>
          <w:p w:rsidR="00143AF2" w:rsidRDefault="00143AF2"/>
        </w:tc>
        <w:tc>
          <w:tcPr>
            <w:tcW w:w="1433" w:type="dxa"/>
          </w:tcPr>
          <w:p w:rsidR="00143AF2" w:rsidRDefault="00143AF2">
            <w:pPr>
              <w:rPr>
                <w:sz w:val="22"/>
              </w:rPr>
            </w:pPr>
          </w:p>
        </w:tc>
        <w:tc>
          <w:tcPr>
            <w:tcW w:w="1323" w:type="dxa"/>
          </w:tcPr>
          <w:p w:rsidR="00143AF2" w:rsidRDefault="00143AF2">
            <w:pPr>
              <w:rPr>
                <w:sz w:val="22"/>
              </w:rPr>
            </w:pPr>
          </w:p>
        </w:tc>
        <w:tc>
          <w:tcPr>
            <w:tcW w:w="1440" w:type="dxa"/>
          </w:tcPr>
          <w:p w:rsidR="00143AF2" w:rsidRDefault="00143AF2">
            <w:pPr>
              <w:rPr>
                <w:sz w:val="22"/>
              </w:rPr>
            </w:pPr>
          </w:p>
        </w:tc>
      </w:tr>
      <w:tr w:rsidR="00143AF2">
        <w:tc>
          <w:tcPr>
            <w:tcW w:w="2464" w:type="dxa"/>
          </w:tcPr>
          <w:p w:rsidR="00143AF2" w:rsidRDefault="00143AF2"/>
        </w:tc>
        <w:tc>
          <w:tcPr>
            <w:tcW w:w="1433" w:type="dxa"/>
          </w:tcPr>
          <w:p w:rsidR="00143AF2" w:rsidRDefault="00143AF2">
            <w:pPr>
              <w:rPr>
                <w:sz w:val="22"/>
                <w:u w:val="single"/>
              </w:rPr>
            </w:pPr>
          </w:p>
        </w:tc>
        <w:tc>
          <w:tcPr>
            <w:tcW w:w="1323" w:type="dxa"/>
          </w:tcPr>
          <w:p w:rsidR="00143AF2" w:rsidRDefault="00143AF2">
            <w:pPr>
              <w:rPr>
                <w:sz w:val="22"/>
                <w:u w:val="single"/>
              </w:rPr>
            </w:pPr>
          </w:p>
        </w:tc>
        <w:tc>
          <w:tcPr>
            <w:tcW w:w="1440" w:type="dxa"/>
          </w:tcPr>
          <w:p w:rsidR="00143AF2" w:rsidRDefault="00143AF2">
            <w:pPr>
              <w:rPr>
                <w:sz w:val="22"/>
                <w:u w:val="single"/>
              </w:rPr>
            </w:pPr>
          </w:p>
        </w:tc>
      </w:tr>
      <w:tr w:rsidR="00143AF2">
        <w:tc>
          <w:tcPr>
            <w:tcW w:w="2464" w:type="dxa"/>
          </w:tcPr>
          <w:p w:rsidR="00143AF2" w:rsidRDefault="00143AF2">
            <w:pPr>
              <w:ind w:firstLine="720"/>
              <w:rPr>
                <w:sz w:val="22"/>
              </w:rPr>
            </w:pPr>
          </w:p>
        </w:tc>
        <w:tc>
          <w:tcPr>
            <w:tcW w:w="1433" w:type="dxa"/>
          </w:tcPr>
          <w:p w:rsidR="00143AF2" w:rsidRDefault="00143AF2">
            <w:pPr>
              <w:rPr>
                <w:u w:val="single"/>
              </w:rPr>
            </w:pPr>
          </w:p>
        </w:tc>
        <w:tc>
          <w:tcPr>
            <w:tcW w:w="1323" w:type="dxa"/>
          </w:tcPr>
          <w:p w:rsidR="00143AF2" w:rsidRDefault="00143AF2">
            <w:pPr>
              <w:rPr>
                <w:u w:val="single"/>
              </w:rPr>
            </w:pPr>
          </w:p>
        </w:tc>
        <w:tc>
          <w:tcPr>
            <w:tcW w:w="1440" w:type="dxa"/>
          </w:tcPr>
          <w:p w:rsidR="00143AF2" w:rsidRDefault="00143AF2">
            <w:pPr>
              <w:rPr>
                <w:u w:val="single"/>
              </w:rPr>
            </w:pPr>
          </w:p>
        </w:tc>
      </w:tr>
    </w:tbl>
    <w:p w:rsidR="00143AF2" w:rsidRDefault="00143AF2">
      <w:pPr>
        <w:jc w:val="both"/>
        <w:rPr>
          <w:b/>
          <w:bCs/>
          <w:sz w:val="22"/>
        </w:rPr>
      </w:pPr>
      <w:r>
        <w:rPr>
          <w:b/>
          <w:bCs/>
          <w:sz w:val="22"/>
        </w:rPr>
        <w:t>B10.</w:t>
      </w:r>
      <w:r>
        <w:rPr>
          <w:b/>
          <w:bCs/>
        </w:rPr>
        <w:tab/>
      </w:r>
      <w:r>
        <w:rPr>
          <w:b/>
          <w:bCs/>
          <w:sz w:val="22"/>
        </w:rPr>
        <w:t>Off Balance Sheet Financial Instruments</w:t>
      </w:r>
    </w:p>
    <w:p w:rsidR="00143AF2" w:rsidRDefault="00143AF2">
      <w:pPr>
        <w:jc w:val="both"/>
        <w:rPr>
          <w:b/>
          <w:bCs/>
          <w:sz w:val="22"/>
        </w:rPr>
      </w:pPr>
    </w:p>
    <w:p w:rsidR="00143AF2" w:rsidRDefault="00143AF2">
      <w:pPr>
        <w:pStyle w:val="BodyTextIndent3"/>
        <w:ind w:firstLine="0"/>
      </w:pPr>
      <w:r>
        <w:t>There were no financial instruments with off balance sheet risk as at the latest practicable date, which is not earlier than 7 days from date of issuance of this quarterly report.</w:t>
      </w:r>
    </w:p>
    <w:p w:rsidR="00143AF2" w:rsidRDefault="00143AF2">
      <w:pPr>
        <w:rPr>
          <w:sz w:val="22"/>
        </w:rPr>
      </w:pPr>
    </w:p>
    <w:p w:rsidR="00143AF2" w:rsidRDefault="00143AF2">
      <w:pPr>
        <w:pStyle w:val="BodyTextIndent2"/>
        <w:ind w:hanging="720"/>
        <w:rPr>
          <w:b/>
        </w:rPr>
      </w:pPr>
    </w:p>
    <w:p w:rsidR="00143AF2" w:rsidRDefault="00143AF2">
      <w:pPr>
        <w:pStyle w:val="BodyTextIndent2"/>
        <w:ind w:hanging="720"/>
        <w:rPr>
          <w:b/>
        </w:rPr>
      </w:pPr>
      <w:r>
        <w:rPr>
          <w:b/>
        </w:rPr>
        <w:t>B11.</w:t>
      </w:r>
      <w:r>
        <w:rPr>
          <w:b/>
        </w:rPr>
        <w:tab/>
        <w:t>Changes in Material Litigation</w:t>
      </w:r>
    </w:p>
    <w:p w:rsidR="00143AF2" w:rsidRDefault="00143AF2">
      <w:pPr>
        <w:pStyle w:val="BodyTextIndent2"/>
        <w:tabs>
          <w:tab w:val="left" w:pos="720"/>
        </w:tabs>
        <w:rPr>
          <w:b/>
        </w:rPr>
      </w:pPr>
    </w:p>
    <w:p w:rsidR="00143AF2" w:rsidRDefault="00143AF2">
      <w:pPr>
        <w:pStyle w:val="BodyTextIndent2"/>
      </w:pPr>
      <w:r>
        <w:t>There were no pending material litigation as at the date of this report.</w:t>
      </w:r>
    </w:p>
    <w:p w:rsidR="00143AF2" w:rsidRDefault="00143AF2">
      <w:pPr>
        <w:rPr>
          <w:sz w:val="22"/>
        </w:rPr>
      </w:pPr>
    </w:p>
    <w:p w:rsidR="00EC7F6B" w:rsidRDefault="00EC7F6B">
      <w:pPr>
        <w:ind w:left="720" w:hanging="720"/>
        <w:jc w:val="both"/>
        <w:outlineLvl w:val="0"/>
        <w:rPr>
          <w:b/>
          <w:sz w:val="22"/>
        </w:rPr>
      </w:pPr>
    </w:p>
    <w:p w:rsidR="00143AF2" w:rsidRDefault="00143AF2">
      <w:pPr>
        <w:ind w:left="720" w:hanging="720"/>
        <w:jc w:val="both"/>
        <w:outlineLvl w:val="0"/>
        <w:rPr>
          <w:b/>
          <w:sz w:val="22"/>
        </w:rPr>
      </w:pPr>
      <w:r>
        <w:rPr>
          <w:b/>
          <w:sz w:val="22"/>
        </w:rPr>
        <w:t>B12.</w:t>
      </w:r>
      <w:r>
        <w:rPr>
          <w:b/>
          <w:sz w:val="22"/>
        </w:rPr>
        <w:tab/>
        <w:t>Dividend</w:t>
      </w:r>
    </w:p>
    <w:p w:rsidR="00143AF2" w:rsidRDefault="00143AF2">
      <w:pPr>
        <w:ind w:left="720" w:hanging="720"/>
        <w:jc w:val="both"/>
        <w:outlineLvl w:val="0"/>
        <w:rPr>
          <w:sz w:val="22"/>
        </w:rPr>
      </w:pPr>
    </w:p>
    <w:p w:rsidR="00143AF2" w:rsidRDefault="00143AF2" w:rsidP="00485D78">
      <w:pPr>
        <w:pStyle w:val="Heading5"/>
        <w:ind w:hanging="720"/>
        <w:rPr>
          <w:b w:val="0"/>
          <w:bCs w:val="0"/>
        </w:rPr>
      </w:pPr>
      <w:r>
        <w:tab/>
      </w:r>
      <w:r>
        <w:rPr>
          <w:b w:val="0"/>
          <w:bCs w:val="0"/>
        </w:rPr>
        <w:t>No interim and final dividend was recommended by the Board of Director for the financi</w:t>
      </w:r>
      <w:r w:rsidR="004C146D">
        <w:rPr>
          <w:b w:val="0"/>
          <w:bCs w:val="0"/>
        </w:rPr>
        <w:t>al year</w:t>
      </w:r>
      <w:r w:rsidR="00B55F68">
        <w:rPr>
          <w:b w:val="0"/>
          <w:bCs w:val="0"/>
        </w:rPr>
        <w:t xml:space="preserve"> en</w:t>
      </w:r>
      <w:r w:rsidR="00D55006">
        <w:rPr>
          <w:b w:val="0"/>
          <w:bCs w:val="0"/>
        </w:rPr>
        <w:t xml:space="preserve">ded </w:t>
      </w:r>
      <w:r w:rsidR="004C146D">
        <w:rPr>
          <w:b w:val="0"/>
          <w:bCs w:val="0"/>
        </w:rPr>
        <w:t>30 September</w:t>
      </w:r>
      <w:r w:rsidR="004D2166">
        <w:rPr>
          <w:b w:val="0"/>
          <w:bCs w:val="0"/>
        </w:rPr>
        <w:t xml:space="preserve"> 2013</w:t>
      </w:r>
      <w:r>
        <w:rPr>
          <w:b w:val="0"/>
          <w:bCs w:val="0"/>
        </w:rPr>
        <w:t>.</w:t>
      </w:r>
    </w:p>
    <w:p w:rsidR="00143AF2" w:rsidRDefault="00143AF2"/>
    <w:p w:rsidR="00C262EC" w:rsidRDefault="00C262EC">
      <w:pPr>
        <w:pStyle w:val="Heading5"/>
        <w:ind w:hanging="720"/>
      </w:pPr>
    </w:p>
    <w:p w:rsidR="00143AF2" w:rsidRDefault="00143AF2">
      <w:pPr>
        <w:pStyle w:val="Heading5"/>
        <w:ind w:hanging="720"/>
      </w:pPr>
      <w:r>
        <w:t>B13.</w:t>
      </w:r>
      <w:r>
        <w:tab/>
        <w:t>Earnings per share</w:t>
      </w:r>
    </w:p>
    <w:p w:rsidR="00143AF2" w:rsidRDefault="00143AF2"/>
    <w:p w:rsidR="00143AF2" w:rsidRDefault="00143AF2">
      <w:pPr>
        <w:ind w:left="720" w:hanging="720"/>
        <w:rPr>
          <w:sz w:val="22"/>
        </w:rPr>
      </w:pPr>
      <w:r>
        <w:tab/>
      </w:r>
      <w:r>
        <w:rPr>
          <w:sz w:val="22"/>
        </w:rPr>
        <w:t>The basic Earnings per Share and Diluted Earnings per Share of the Group were the same for the reporting period as there w</w:t>
      </w:r>
      <w:r w:rsidR="00216084">
        <w:rPr>
          <w:sz w:val="22"/>
        </w:rPr>
        <w:t xml:space="preserve">as </w:t>
      </w:r>
      <w:r>
        <w:rPr>
          <w:sz w:val="22"/>
        </w:rPr>
        <w:t>no effect of dilutive potential ordinary shares.</w:t>
      </w:r>
    </w:p>
    <w:p w:rsidR="00143AF2" w:rsidRDefault="00143AF2">
      <w:pPr>
        <w:ind w:left="720"/>
        <w:jc w:val="both"/>
      </w:pPr>
      <w:r>
        <w:rPr>
          <w:b/>
          <w:bCs/>
          <w:sz w:val="22"/>
        </w:rPr>
        <w:tab/>
      </w:r>
    </w:p>
    <w:tbl>
      <w:tblPr>
        <w:tblW w:w="7653" w:type="dxa"/>
        <w:tblInd w:w="828" w:type="dxa"/>
        <w:tblLayout w:type="fixed"/>
        <w:tblLook w:val="0000"/>
      </w:tblPr>
      <w:tblGrid>
        <w:gridCol w:w="5493"/>
        <w:gridCol w:w="1080"/>
        <w:gridCol w:w="1080"/>
      </w:tblGrid>
      <w:tr w:rsidR="00143AF2">
        <w:tc>
          <w:tcPr>
            <w:tcW w:w="5493" w:type="dxa"/>
          </w:tcPr>
          <w:p w:rsidR="00143AF2" w:rsidRDefault="00143AF2">
            <w:pPr>
              <w:ind w:firstLine="720"/>
              <w:jc w:val="both"/>
            </w:pPr>
          </w:p>
        </w:tc>
        <w:tc>
          <w:tcPr>
            <w:tcW w:w="1080" w:type="dxa"/>
          </w:tcPr>
          <w:p w:rsidR="00143AF2" w:rsidRDefault="00143AF2">
            <w:pPr>
              <w:jc w:val="center"/>
              <w:rPr>
                <w:b/>
                <w:bCs/>
              </w:rPr>
            </w:pPr>
            <w:r>
              <w:rPr>
                <w:b/>
                <w:bCs/>
              </w:rPr>
              <w:t>Current Quarter ended</w:t>
            </w:r>
          </w:p>
          <w:p w:rsidR="00143AF2" w:rsidRDefault="004175C5">
            <w:pPr>
              <w:jc w:val="center"/>
            </w:pPr>
            <w:r>
              <w:rPr>
                <w:b/>
                <w:bCs/>
              </w:rPr>
              <w:t>3</w:t>
            </w:r>
            <w:r w:rsidR="00D55006">
              <w:rPr>
                <w:b/>
                <w:bCs/>
              </w:rPr>
              <w:t>0</w:t>
            </w:r>
            <w:r w:rsidR="00B55F68">
              <w:rPr>
                <w:b/>
                <w:bCs/>
              </w:rPr>
              <w:t>/</w:t>
            </w:r>
            <w:r w:rsidR="004C146D">
              <w:rPr>
                <w:b/>
                <w:bCs/>
              </w:rPr>
              <w:t>9</w:t>
            </w:r>
            <w:r w:rsidR="00D55006">
              <w:rPr>
                <w:b/>
                <w:bCs/>
              </w:rPr>
              <w:t>/</w:t>
            </w:r>
            <w:r w:rsidR="00EF5CC0">
              <w:rPr>
                <w:b/>
                <w:bCs/>
              </w:rPr>
              <w:t>1</w:t>
            </w:r>
            <w:r w:rsidR="004D2166">
              <w:rPr>
                <w:b/>
                <w:bCs/>
              </w:rPr>
              <w:t>3</w:t>
            </w:r>
          </w:p>
        </w:tc>
        <w:tc>
          <w:tcPr>
            <w:tcW w:w="1080" w:type="dxa"/>
          </w:tcPr>
          <w:p w:rsidR="00143AF2" w:rsidRDefault="004C146D">
            <w:pPr>
              <w:jc w:val="center"/>
              <w:rPr>
                <w:b/>
                <w:bCs/>
              </w:rPr>
            </w:pPr>
            <w:r>
              <w:rPr>
                <w:b/>
                <w:bCs/>
              </w:rPr>
              <w:t>12</w:t>
            </w:r>
          </w:p>
          <w:p w:rsidR="00143AF2" w:rsidRDefault="00143AF2">
            <w:pPr>
              <w:jc w:val="center"/>
              <w:rPr>
                <w:b/>
                <w:bCs/>
              </w:rPr>
            </w:pPr>
            <w:r>
              <w:rPr>
                <w:b/>
                <w:bCs/>
              </w:rPr>
              <w:t xml:space="preserve"> months ended</w:t>
            </w:r>
          </w:p>
          <w:p w:rsidR="00143AF2" w:rsidRDefault="00B55F68">
            <w:pPr>
              <w:jc w:val="center"/>
            </w:pPr>
            <w:r>
              <w:rPr>
                <w:b/>
                <w:bCs/>
              </w:rPr>
              <w:t>3</w:t>
            </w:r>
            <w:r w:rsidR="004C146D">
              <w:rPr>
                <w:b/>
                <w:bCs/>
              </w:rPr>
              <w:t>0/9</w:t>
            </w:r>
            <w:r w:rsidR="00143AF2">
              <w:rPr>
                <w:b/>
                <w:bCs/>
              </w:rPr>
              <w:t>/</w:t>
            </w:r>
            <w:r w:rsidR="00EF5CC0">
              <w:rPr>
                <w:b/>
                <w:bCs/>
              </w:rPr>
              <w:t>1</w:t>
            </w:r>
            <w:r w:rsidR="005479D6">
              <w:rPr>
                <w:b/>
                <w:bCs/>
              </w:rPr>
              <w:t>3</w:t>
            </w:r>
          </w:p>
        </w:tc>
      </w:tr>
      <w:tr w:rsidR="00143AF2">
        <w:tc>
          <w:tcPr>
            <w:tcW w:w="5493" w:type="dxa"/>
          </w:tcPr>
          <w:p w:rsidR="00143AF2" w:rsidRDefault="00143AF2">
            <w:pPr>
              <w:jc w:val="both"/>
            </w:pPr>
          </w:p>
          <w:p w:rsidR="00143AF2" w:rsidRDefault="00143AF2">
            <w:pPr>
              <w:jc w:val="both"/>
            </w:pPr>
            <w:r>
              <w:t>Basic</w:t>
            </w:r>
          </w:p>
        </w:tc>
        <w:tc>
          <w:tcPr>
            <w:tcW w:w="1080" w:type="dxa"/>
          </w:tcPr>
          <w:p w:rsidR="00143AF2" w:rsidRDefault="00143AF2">
            <w:pPr>
              <w:jc w:val="center"/>
            </w:pPr>
          </w:p>
        </w:tc>
        <w:tc>
          <w:tcPr>
            <w:tcW w:w="1080" w:type="dxa"/>
          </w:tcPr>
          <w:p w:rsidR="00143AF2" w:rsidRDefault="00143AF2">
            <w:pPr>
              <w:jc w:val="center"/>
            </w:pPr>
          </w:p>
        </w:tc>
      </w:tr>
      <w:tr w:rsidR="00143AF2">
        <w:tc>
          <w:tcPr>
            <w:tcW w:w="5493" w:type="dxa"/>
          </w:tcPr>
          <w:p w:rsidR="00143AF2" w:rsidRDefault="00143AF2">
            <w:pPr>
              <w:jc w:val="both"/>
            </w:pPr>
          </w:p>
          <w:p w:rsidR="00143AF2" w:rsidRDefault="00695FBD">
            <w:pPr>
              <w:jc w:val="both"/>
            </w:pPr>
            <w:r>
              <w:t xml:space="preserve">Net </w:t>
            </w:r>
            <w:r w:rsidR="005D4FC5">
              <w:t>Profit/(</w:t>
            </w:r>
            <w:r>
              <w:t>Loss</w:t>
            </w:r>
            <w:r w:rsidR="005D4FC5">
              <w:t>)</w:t>
            </w:r>
            <w:r w:rsidR="00143AF2">
              <w:t xml:space="preserve"> attributable to ordinary shareholders (RM`000)</w:t>
            </w:r>
          </w:p>
        </w:tc>
        <w:tc>
          <w:tcPr>
            <w:tcW w:w="1080" w:type="dxa"/>
          </w:tcPr>
          <w:p w:rsidR="00143AF2" w:rsidRDefault="00143AF2">
            <w:pPr>
              <w:pStyle w:val="StyleRight"/>
            </w:pPr>
          </w:p>
          <w:p w:rsidR="00143AF2" w:rsidRDefault="002B515F">
            <w:pPr>
              <w:pStyle w:val="StyleRight"/>
            </w:pPr>
            <w:r>
              <w:t>(1</w:t>
            </w:r>
            <w:r w:rsidR="00075110">
              <w:t>,</w:t>
            </w:r>
            <w:r>
              <w:t>990</w:t>
            </w:r>
            <w:r w:rsidR="005D4FC5">
              <w:t>)</w:t>
            </w:r>
          </w:p>
        </w:tc>
        <w:tc>
          <w:tcPr>
            <w:tcW w:w="1080" w:type="dxa"/>
          </w:tcPr>
          <w:p w:rsidR="00143AF2" w:rsidRDefault="00143AF2">
            <w:pPr>
              <w:pStyle w:val="StyleRight"/>
            </w:pPr>
          </w:p>
          <w:p w:rsidR="00143AF2" w:rsidRDefault="00695FBD">
            <w:pPr>
              <w:pStyle w:val="StyleRight"/>
            </w:pPr>
            <w:r>
              <w:t>(</w:t>
            </w:r>
            <w:r w:rsidR="002B515F">
              <w:t>4,572</w:t>
            </w:r>
            <w:r>
              <w:t>)</w:t>
            </w:r>
          </w:p>
        </w:tc>
      </w:tr>
      <w:tr w:rsidR="00143AF2">
        <w:tc>
          <w:tcPr>
            <w:tcW w:w="5493" w:type="dxa"/>
          </w:tcPr>
          <w:p w:rsidR="00143AF2" w:rsidRDefault="00143AF2">
            <w:pPr>
              <w:jc w:val="both"/>
            </w:pPr>
            <w:r>
              <w:t>Number of ordinary shares issued (`000)</w:t>
            </w:r>
          </w:p>
        </w:tc>
        <w:tc>
          <w:tcPr>
            <w:tcW w:w="1080" w:type="dxa"/>
          </w:tcPr>
          <w:p w:rsidR="00143AF2" w:rsidRDefault="00143AF2">
            <w:pPr>
              <w:pStyle w:val="StyleRight"/>
            </w:pPr>
            <w:r>
              <w:t xml:space="preserve">     42,000</w:t>
            </w:r>
          </w:p>
        </w:tc>
        <w:tc>
          <w:tcPr>
            <w:tcW w:w="1080" w:type="dxa"/>
          </w:tcPr>
          <w:p w:rsidR="00143AF2" w:rsidRDefault="00143AF2">
            <w:pPr>
              <w:pStyle w:val="StyleRight"/>
            </w:pPr>
            <w:r>
              <w:t xml:space="preserve">      42,000</w:t>
            </w:r>
          </w:p>
        </w:tc>
      </w:tr>
      <w:tr w:rsidR="00143AF2">
        <w:tc>
          <w:tcPr>
            <w:tcW w:w="5493" w:type="dxa"/>
          </w:tcPr>
          <w:p w:rsidR="00143AF2" w:rsidRDefault="00695FBD">
            <w:pPr>
              <w:jc w:val="both"/>
            </w:pPr>
            <w:r>
              <w:t xml:space="preserve">Basic </w:t>
            </w:r>
            <w:r w:rsidR="005D4FC5">
              <w:t>Profit/(</w:t>
            </w:r>
            <w:r>
              <w:t>Loss</w:t>
            </w:r>
            <w:r w:rsidR="005D4FC5">
              <w:t>)</w:t>
            </w:r>
            <w:r w:rsidR="00143AF2">
              <w:t xml:space="preserve"> per ordinary share (sen)</w:t>
            </w:r>
          </w:p>
        </w:tc>
        <w:tc>
          <w:tcPr>
            <w:tcW w:w="1080" w:type="dxa"/>
          </w:tcPr>
          <w:p w:rsidR="00143AF2" w:rsidRDefault="005D4FC5">
            <w:pPr>
              <w:pStyle w:val="StyleRight"/>
            </w:pPr>
            <w:r>
              <w:t>(</w:t>
            </w:r>
            <w:r w:rsidR="002B515F">
              <w:t>4</w:t>
            </w:r>
            <w:r w:rsidR="00E54C68">
              <w:t>.</w:t>
            </w:r>
            <w:r w:rsidR="002B515F">
              <w:t>7</w:t>
            </w:r>
            <w:r w:rsidR="00075110">
              <w:t>4</w:t>
            </w:r>
            <w:r>
              <w:t>)</w:t>
            </w:r>
          </w:p>
        </w:tc>
        <w:tc>
          <w:tcPr>
            <w:tcW w:w="1080" w:type="dxa"/>
          </w:tcPr>
          <w:p w:rsidR="00143AF2" w:rsidRDefault="00695FBD" w:rsidP="00FD6D27">
            <w:pPr>
              <w:pStyle w:val="StyleRight"/>
            </w:pPr>
            <w:r>
              <w:t>(</w:t>
            </w:r>
            <w:r w:rsidR="002B515F">
              <w:t>10.89</w:t>
            </w:r>
            <w:r>
              <w:t>)</w:t>
            </w:r>
          </w:p>
        </w:tc>
      </w:tr>
    </w:tbl>
    <w:p w:rsidR="00143AF2" w:rsidRDefault="00143AF2" w:rsidP="00FD6D27">
      <w:pPr>
        <w:jc w:val="both"/>
      </w:pPr>
    </w:p>
    <w:sectPr w:rsidR="00143AF2" w:rsidSect="00BE538F">
      <w:headerReference w:type="default" r:id="rId7"/>
      <w:footerReference w:type="even" r:id="rId8"/>
      <w:footerReference w:type="default" r:id="rId9"/>
      <w:pgSz w:w="11909" w:h="16834" w:code="9"/>
      <w:pgMar w:top="1080" w:right="1289" w:bottom="810" w:left="1152"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975" w:rsidRDefault="00B86975">
      <w:r>
        <w:separator/>
      </w:r>
    </w:p>
  </w:endnote>
  <w:endnote w:type="continuationSeparator" w:id="1">
    <w:p w:rsidR="00B86975" w:rsidRDefault="00B86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BE538F">
    <w:pPr>
      <w:pStyle w:val="Footer"/>
      <w:framePr w:wrap="around" w:vAnchor="text" w:hAnchor="margin" w:xAlign="center" w:y="1"/>
      <w:rPr>
        <w:rStyle w:val="PageNumber"/>
      </w:rPr>
    </w:pPr>
    <w:r>
      <w:rPr>
        <w:rStyle w:val="PageNumber"/>
      </w:rPr>
      <w:fldChar w:fldCharType="begin"/>
    </w:r>
    <w:r w:rsidR="0098276F">
      <w:rPr>
        <w:rStyle w:val="PageNumber"/>
      </w:rPr>
      <w:instrText xml:space="preserve">PAGE  </w:instrText>
    </w:r>
    <w:r>
      <w:rPr>
        <w:rStyle w:val="PageNumber"/>
      </w:rPr>
      <w:fldChar w:fldCharType="separate"/>
    </w:r>
    <w:r w:rsidR="0098276F">
      <w:rPr>
        <w:rStyle w:val="PageNumber"/>
        <w:noProof/>
      </w:rPr>
      <w:t>10</w:t>
    </w:r>
    <w:r>
      <w:rPr>
        <w:rStyle w:val="PageNumber"/>
      </w:rPr>
      <w:fldChar w:fldCharType="end"/>
    </w:r>
  </w:p>
  <w:p w:rsidR="0098276F" w:rsidRDefault="00982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98276F">
    <w:pPr>
      <w:pStyle w:val="Footer"/>
      <w:framePr w:wrap="around" w:vAnchor="text" w:hAnchor="margin" w:xAlign="center" w:y="1"/>
      <w:rPr>
        <w:rStyle w:val="PageNumber"/>
      </w:rPr>
    </w:pPr>
  </w:p>
  <w:p w:rsidR="0098276F" w:rsidRDefault="00982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975" w:rsidRDefault="00B86975">
      <w:r>
        <w:separator/>
      </w:r>
    </w:p>
  </w:footnote>
  <w:footnote w:type="continuationSeparator" w:id="1">
    <w:p w:rsidR="00B86975" w:rsidRDefault="00B86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98276F">
    <w:pPr>
      <w:jc w:val="center"/>
      <w:outlineLvl w:val="0"/>
      <w:rPr>
        <w:b/>
        <w:sz w:val="16"/>
        <w:szCs w:val="22"/>
      </w:rPr>
    </w:pPr>
    <w:r>
      <w:rPr>
        <w:b/>
        <w:sz w:val="28"/>
        <w:szCs w:val="28"/>
      </w:rPr>
      <w:t>STONE MASTER CORPORATION BERHAD</w:t>
    </w:r>
    <w:r>
      <w:rPr>
        <w:i/>
        <w:iCs/>
        <w:snapToGrid w:val="0"/>
        <w:color w:val="000000"/>
        <w:sz w:val="16"/>
        <w:szCs w:val="22"/>
      </w:rPr>
      <w:t>(Company No. 498639-X)</w:t>
    </w:r>
  </w:p>
  <w:p w:rsidR="0098276F" w:rsidRDefault="0098276F">
    <w:pPr>
      <w:pStyle w:val="Heading3"/>
    </w:pPr>
    <w:r>
      <w:t>QUARTERLY REPORT ON CONSOLIDATED RESULTS</w:t>
    </w:r>
  </w:p>
  <w:p w:rsidR="0098276F" w:rsidRDefault="0098276F" w:rsidP="006E437B">
    <w:pPr>
      <w:jc w:val="center"/>
      <w:outlineLvl w:val="0"/>
      <w:rPr>
        <w:b/>
        <w:sz w:val="22"/>
        <w:szCs w:val="22"/>
      </w:rPr>
    </w:pPr>
    <w:r>
      <w:rPr>
        <w:b/>
        <w:sz w:val="22"/>
        <w:szCs w:val="22"/>
      </w:rPr>
      <w:t>FO</w:t>
    </w:r>
    <w:r w:rsidR="00D55006">
      <w:rPr>
        <w:b/>
        <w:sz w:val="22"/>
        <w:szCs w:val="22"/>
      </w:rPr>
      <w:t>R THE</w:t>
    </w:r>
    <w:r w:rsidR="004C1435">
      <w:rPr>
        <w:b/>
        <w:sz w:val="22"/>
        <w:szCs w:val="22"/>
      </w:rPr>
      <w:t xml:space="preserve"> FINANCIAL YEAR</w:t>
    </w:r>
    <w:r w:rsidR="006E437B">
      <w:rPr>
        <w:b/>
        <w:sz w:val="22"/>
        <w:szCs w:val="22"/>
      </w:rPr>
      <w:t xml:space="preserve"> ENDED 30 SEPTEMBER 2013</w:t>
    </w:r>
  </w:p>
  <w:p w:rsidR="0098276F" w:rsidRDefault="009827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3041"/>
    <w:multiLevelType w:val="singleLevel"/>
    <w:tmpl w:val="F71E0684"/>
    <w:lvl w:ilvl="0">
      <w:start w:val="1"/>
      <w:numFmt w:val="decimal"/>
      <w:pStyle w:val="Caption"/>
      <w:lvlText w:val="%1"/>
      <w:lvlJc w:val="left"/>
      <w:pPr>
        <w:tabs>
          <w:tab w:val="num" w:pos="720"/>
        </w:tabs>
        <w:ind w:left="720" w:hanging="720"/>
      </w:pPr>
      <w:rPr>
        <w:rFonts w:hint="default"/>
      </w:rPr>
    </w:lvl>
  </w:abstractNum>
  <w:abstractNum w:abstractNumId="1">
    <w:nsid w:val="08334886"/>
    <w:multiLevelType w:val="multilevel"/>
    <w:tmpl w:val="F41A3F78"/>
    <w:lvl w:ilvl="0">
      <w:start w:val="20"/>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363E07"/>
    <w:multiLevelType w:val="hybridMultilevel"/>
    <w:tmpl w:val="5F48BB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2C5267"/>
    <w:multiLevelType w:val="hybridMultilevel"/>
    <w:tmpl w:val="2954DC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BF5953"/>
    <w:multiLevelType w:val="hybridMultilevel"/>
    <w:tmpl w:val="126AC554"/>
    <w:lvl w:ilvl="0" w:tplc="FFFFFFFF">
      <w:start w:val="17"/>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FC63CC"/>
    <w:multiLevelType w:val="hybridMultilevel"/>
    <w:tmpl w:val="EA545558"/>
    <w:lvl w:ilvl="0" w:tplc="E57428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146F5A"/>
    <w:multiLevelType w:val="hybridMultilevel"/>
    <w:tmpl w:val="E3001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F3D7DA2"/>
    <w:multiLevelType w:val="hybridMultilevel"/>
    <w:tmpl w:val="15641218"/>
    <w:lvl w:ilvl="0" w:tplc="3208BA56">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E818A2"/>
    <w:multiLevelType w:val="hybridMultilevel"/>
    <w:tmpl w:val="F182C484"/>
    <w:lvl w:ilvl="0" w:tplc="C124183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nsid w:val="3CCB0753"/>
    <w:multiLevelType w:val="singleLevel"/>
    <w:tmpl w:val="AB046A52"/>
    <w:lvl w:ilvl="0">
      <w:start w:val="16"/>
      <w:numFmt w:val="decimal"/>
      <w:pStyle w:val="Heading9"/>
      <w:lvlText w:val="%1"/>
      <w:lvlJc w:val="left"/>
      <w:pPr>
        <w:tabs>
          <w:tab w:val="num" w:pos="720"/>
        </w:tabs>
        <w:ind w:left="720" w:hanging="720"/>
      </w:pPr>
      <w:rPr>
        <w:rFonts w:hint="default"/>
      </w:rPr>
    </w:lvl>
  </w:abstractNum>
  <w:abstractNum w:abstractNumId="10">
    <w:nsid w:val="41466A9B"/>
    <w:multiLevelType w:val="hybridMultilevel"/>
    <w:tmpl w:val="ACE8DE8C"/>
    <w:lvl w:ilvl="0" w:tplc="6A86F6A4">
      <w:start w:val="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nsid w:val="41CD0C78"/>
    <w:multiLevelType w:val="hybridMultilevel"/>
    <w:tmpl w:val="88C20154"/>
    <w:lvl w:ilvl="0" w:tplc="2AB01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2">
    <w:nsid w:val="49EF0CB4"/>
    <w:multiLevelType w:val="hybridMultilevel"/>
    <w:tmpl w:val="767AAA0C"/>
    <w:lvl w:ilvl="0" w:tplc="FFFFFFFF">
      <w:start w:val="1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FA07BB9"/>
    <w:multiLevelType w:val="hybridMultilevel"/>
    <w:tmpl w:val="30BE5A18"/>
    <w:lvl w:ilvl="0" w:tplc="F5742C2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B230CE"/>
    <w:multiLevelType w:val="hybridMultilevel"/>
    <w:tmpl w:val="013A4AC0"/>
    <w:lvl w:ilvl="0" w:tplc="68C4C1EC">
      <w:start w:val="4"/>
      <w:numFmt w:val="lowerRoman"/>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37F303F"/>
    <w:multiLevelType w:val="hybridMultilevel"/>
    <w:tmpl w:val="27903BCE"/>
    <w:lvl w:ilvl="0" w:tplc="40B4AD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6"/>
  </w:num>
  <w:num w:numId="3">
    <w:abstractNumId w:val="12"/>
  </w:num>
  <w:num w:numId="4">
    <w:abstractNumId w:val="4"/>
  </w:num>
  <w:num w:numId="5">
    <w:abstractNumId w:val="3"/>
  </w:num>
  <w:num w:numId="6">
    <w:abstractNumId w:val="2"/>
  </w:num>
  <w:num w:numId="7">
    <w:abstractNumId w:val="13"/>
  </w:num>
  <w:num w:numId="8">
    <w:abstractNumId w:val="0"/>
  </w:num>
  <w:num w:numId="9">
    <w:abstractNumId w:val="1"/>
  </w:num>
  <w:num w:numId="10">
    <w:abstractNumId w:val="10"/>
  </w:num>
  <w:num w:numId="11">
    <w:abstractNumId w:val="5"/>
  </w:num>
  <w:num w:numId="12">
    <w:abstractNumId w:val="15"/>
  </w:num>
  <w:num w:numId="13">
    <w:abstractNumId w:val="14"/>
  </w:num>
  <w:num w:numId="14">
    <w:abstractNumId w:val="7"/>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436AE7"/>
    <w:rsid w:val="00003AE2"/>
    <w:rsid w:val="00004F61"/>
    <w:rsid w:val="0002356A"/>
    <w:rsid w:val="00025638"/>
    <w:rsid w:val="0003778D"/>
    <w:rsid w:val="000448F2"/>
    <w:rsid w:val="00057E54"/>
    <w:rsid w:val="00064224"/>
    <w:rsid w:val="00075110"/>
    <w:rsid w:val="00090829"/>
    <w:rsid w:val="00095E0D"/>
    <w:rsid w:val="000A4458"/>
    <w:rsid w:val="000B0808"/>
    <w:rsid w:val="000B3860"/>
    <w:rsid w:val="000B6548"/>
    <w:rsid w:val="000C3A57"/>
    <w:rsid w:val="000C7D2E"/>
    <w:rsid w:val="000D2AC6"/>
    <w:rsid w:val="000E1AE5"/>
    <w:rsid w:val="000E48E6"/>
    <w:rsid w:val="000E5351"/>
    <w:rsid w:val="000F1FF7"/>
    <w:rsid w:val="000F7671"/>
    <w:rsid w:val="00102371"/>
    <w:rsid w:val="0011026F"/>
    <w:rsid w:val="00121388"/>
    <w:rsid w:val="00121EEE"/>
    <w:rsid w:val="00122705"/>
    <w:rsid w:val="001242E3"/>
    <w:rsid w:val="00126BAB"/>
    <w:rsid w:val="00133318"/>
    <w:rsid w:val="00135062"/>
    <w:rsid w:val="00135315"/>
    <w:rsid w:val="00136CCB"/>
    <w:rsid w:val="00143AF2"/>
    <w:rsid w:val="001441DA"/>
    <w:rsid w:val="00146B5F"/>
    <w:rsid w:val="001507B8"/>
    <w:rsid w:val="0015113E"/>
    <w:rsid w:val="00154D52"/>
    <w:rsid w:val="00173126"/>
    <w:rsid w:val="00173AD7"/>
    <w:rsid w:val="0017417D"/>
    <w:rsid w:val="00174836"/>
    <w:rsid w:val="00183449"/>
    <w:rsid w:val="0018670C"/>
    <w:rsid w:val="001872C8"/>
    <w:rsid w:val="00187728"/>
    <w:rsid w:val="001A1F68"/>
    <w:rsid w:val="001A5A72"/>
    <w:rsid w:val="001A5D0E"/>
    <w:rsid w:val="001A78DE"/>
    <w:rsid w:val="001A7E1A"/>
    <w:rsid w:val="001B1FA8"/>
    <w:rsid w:val="001B7F22"/>
    <w:rsid w:val="001C04B0"/>
    <w:rsid w:val="001D0B03"/>
    <w:rsid w:val="001D5216"/>
    <w:rsid w:val="001D6215"/>
    <w:rsid w:val="001E33A0"/>
    <w:rsid w:val="001E4F26"/>
    <w:rsid w:val="001F13EE"/>
    <w:rsid w:val="001F20C5"/>
    <w:rsid w:val="001F7635"/>
    <w:rsid w:val="00203424"/>
    <w:rsid w:val="00206A7A"/>
    <w:rsid w:val="0021318B"/>
    <w:rsid w:val="00216084"/>
    <w:rsid w:val="002362A0"/>
    <w:rsid w:val="00243FE9"/>
    <w:rsid w:val="00250345"/>
    <w:rsid w:val="00250710"/>
    <w:rsid w:val="002732A0"/>
    <w:rsid w:val="0028249F"/>
    <w:rsid w:val="00287FBE"/>
    <w:rsid w:val="00291357"/>
    <w:rsid w:val="002A6F42"/>
    <w:rsid w:val="002B1C13"/>
    <w:rsid w:val="002B515F"/>
    <w:rsid w:val="002C6492"/>
    <w:rsid w:val="002D4432"/>
    <w:rsid w:val="002D514F"/>
    <w:rsid w:val="002D5264"/>
    <w:rsid w:val="002F68B5"/>
    <w:rsid w:val="0030478C"/>
    <w:rsid w:val="00304C36"/>
    <w:rsid w:val="00306DF7"/>
    <w:rsid w:val="00313CD1"/>
    <w:rsid w:val="00325189"/>
    <w:rsid w:val="00325CFF"/>
    <w:rsid w:val="00336F3B"/>
    <w:rsid w:val="00340CDF"/>
    <w:rsid w:val="00360163"/>
    <w:rsid w:val="003849E5"/>
    <w:rsid w:val="00385ACF"/>
    <w:rsid w:val="00390251"/>
    <w:rsid w:val="00393764"/>
    <w:rsid w:val="00396BED"/>
    <w:rsid w:val="003A3CF7"/>
    <w:rsid w:val="003B19F8"/>
    <w:rsid w:val="003B7028"/>
    <w:rsid w:val="003B78B0"/>
    <w:rsid w:val="003C5F0A"/>
    <w:rsid w:val="003D00F0"/>
    <w:rsid w:val="003D1E96"/>
    <w:rsid w:val="003D2A3C"/>
    <w:rsid w:val="003D53C6"/>
    <w:rsid w:val="003E3727"/>
    <w:rsid w:val="003E70E7"/>
    <w:rsid w:val="003E7D6F"/>
    <w:rsid w:val="003E7EBF"/>
    <w:rsid w:val="003F02C6"/>
    <w:rsid w:val="00403DD8"/>
    <w:rsid w:val="004175C5"/>
    <w:rsid w:val="00417E1B"/>
    <w:rsid w:val="00423A9C"/>
    <w:rsid w:val="00431B83"/>
    <w:rsid w:val="00431E76"/>
    <w:rsid w:val="00436AE7"/>
    <w:rsid w:val="004465DE"/>
    <w:rsid w:val="00485D78"/>
    <w:rsid w:val="004868DB"/>
    <w:rsid w:val="00486A1A"/>
    <w:rsid w:val="004A1B00"/>
    <w:rsid w:val="004B6DC7"/>
    <w:rsid w:val="004C1435"/>
    <w:rsid w:val="004C146D"/>
    <w:rsid w:val="004C598D"/>
    <w:rsid w:val="004C7D70"/>
    <w:rsid w:val="004D2166"/>
    <w:rsid w:val="004D7B22"/>
    <w:rsid w:val="004E344F"/>
    <w:rsid w:val="004F274C"/>
    <w:rsid w:val="004F6EAE"/>
    <w:rsid w:val="00511FD8"/>
    <w:rsid w:val="00521B4D"/>
    <w:rsid w:val="00527796"/>
    <w:rsid w:val="005337C6"/>
    <w:rsid w:val="005402F9"/>
    <w:rsid w:val="005469CA"/>
    <w:rsid w:val="005479D6"/>
    <w:rsid w:val="0055394B"/>
    <w:rsid w:val="00553B1A"/>
    <w:rsid w:val="00555081"/>
    <w:rsid w:val="0057181D"/>
    <w:rsid w:val="0057230B"/>
    <w:rsid w:val="00585F33"/>
    <w:rsid w:val="0058629F"/>
    <w:rsid w:val="00590667"/>
    <w:rsid w:val="00590ED2"/>
    <w:rsid w:val="00593C97"/>
    <w:rsid w:val="005971E7"/>
    <w:rsid w:val="005A5675"/>
    <w:rsid w:val="005A6B36"/>
    <w:rsid w:val="005B3824"/>
    <w:rsid w:val="005C41C8"/>
    <w:rsid w:val="005D1516"/>
    <w:rsid w:val="005D3C38"/>
    <w:rsid w:val="005D4384"/>
    <w:rsid w:val="005D4D12"/>
    <w:rsid w:val="005D4FC5"/>
    <w:rsid w:val="005F15A4"/>
    <w:rsid w:val="005F1F97"/>
    <w:rsid w:val="005F6827"/>
    <w:rsid w:val="00600DAE"/>
    <w:rsid w:val="006023A6"/>
    <w:rsid w:val="006128BE"/>
    <w:rsid w:val="00614500"/>
    <w:rsid w:val="00621F02"/>
    <w:rsid w:val="00626FAE"/>
    <w:rsid w:val="00640C44"/>
    <w:rsid w:val="0064156D"/>
    <w:rsid w:val="00642462"/>
    <w:rsid w:val="00647B48"/>
    <w:rsid w:val="00654C64"/>
    <w:rsid w:val="006553BF"/>
    <w:rsid w:val="006576DA"/>
    <w:rsid w:val="00660E92"/>
    <w:rsid w:val="00667C35"/>
    <w:rsid w:val="00673274"/>
    <w:rsid w:val="00681B94"/>
    <w:rsid w:val="00685C3F"/>
    <w:rsid w:val="00686B67"/>
    <w:rsid w:val="00691028"/>
    <w:rsid w:val="00695FBD"/>
    <w:rsid w:val="006A082D"/>
    <w:rsid w:val="006A1E52"/>
    <w:rsid w:val="006A2387"/>
    <w:rsid w:val="006A6420"/>
    <w:rsid w:val="006C451C"/>
    <w:rsid w:val="006D276E"/>
    <w:rsid w:val="006D47DC"/>
    <w:rsid w:val="006E167E"/>
    <w:rsid w:val="006E437B"/>
    <w:rsid w:val="006F0ADD"/>
    <w:rsid w:val="006F1181"/>
    <w:rsid w:val="006F38D7"/>
    <w:rsid w:val="006F6524"/>
    <w:rsid w:val="00705A46"/>
    <w:rsid w:val="00706864"/>
    <w:rsid w:val="00707A8F"/>
    <w:rsid w:val="007149AA"/>
    <w:rsid w:val="00717BD7"/>
    <w:rsid w:val="00720974"/>
    <w:rsid w:val="007319D0"/>
    <w:rsid w:val="00733C4F"/>
    <w:rsid w:val="00733F19"/>
    <w:rsid w:val="00741774"/>
    <w:rsid w:val="007460A5"/>
    <w:rsid w:val="0074671F"/>
    <w:rsid w:val="00747DED"/>
    <w:rsid w:val="00751B0D"/>
    <w:rsid w:val="00751EA5"/>
    <w:rsid w:val="00753A46"/>
    <w:rsid w:val="00755CCF"/>
    <w:rsid w:val="007574E1"/>
    <w:rsid w:val="0075753C"/>
    <w:rsid w:val="00771232"/>
    <w:rsid w:val="00787A5E"/>
    <w:rsid w:val="007A2B38"/>
    <w:rsid w:val="007A5217"/>
    <w:rsid w:val="007A7583"/>
    <w:rsid w:val="007B4281"/>
    <w:rsid w:val="007C13CA"/>
    <w:rsid w:val="007C2F50"/>
    <w:rsid w:val="007C5958"/>
    <w:rsid w:val="007D297E"/>
    <w:rsid w:val="007D526A"/>
    <w:rsid w:val="007E092E"/>
    <w:rsid w:val="007F0614"/>
    <w:rsid w:val="00801522"/>
    <w:rsid w:val="0080581B"/>
    <w:rsid w:val="00812051"/>
    <w:rsid w:val="00815A03"/>
    <w:rsid w:val="00823E04"/>
    <w:rsid w:val="00834F19"/>
    <w:rsid w:val="00842B2C"/>
    <w:rsid w:val="00864176"/>
    <w:rsid w:val="008703DB"/>
    <w:rsid w:val="00884DBE"/>
    <w:rsid w:val="00891DEF"/>
    <w:rsid w:val="00896BD4"/>
    <w:rsid w:val="008A0100"/>
    <w:rsid w:val="008A19C7"/>
    <w:rsid w:val="008B0284"/>
    <w:rsid w:val="008B0690"/>
    <w:rsid w:val="008B17AF"/>
    <w:rsid w:val="008C5742"/>
    <w:rsid w:val="008C7846"/>
    <w:rsid w:val="008D0100"/>
    <w:rsid w:val="008D14F3"/>
    <w:rsid w:val="008D607E"/>
    <w:rsid w:val="008E0B4B"/>
    <w:rsid w:val="008F4C78"/>
    <w:rsid w:val="008F74BA"/>
    <w:rsid w:val="00911038"/>
    <w:rsid w:val="009139FE"/>
    <w:rsid w:val="0091587A"/>
    <w:rsid w:val="00917EE5"/>
    <w:rsid w:val="009205D9"/>
    <w:rsid w:val="009256C2"/>
    <w:rsid w:val="00926465"/>
    <w:rsid w:val="00926C8E"/>
    <w:rsid w:val="00946CF6"/>
    <w:rsid w:val="009503C6"/>
    <w:rsid w:val="00960E86"/>
    <w:rsid w:val="00962265"/>
    <w:rsid w:val="00963FE3"/>
    <w:rsid w:val="0098276F"/>
    <w:rsid w:val="0099439C"/>
    <w:rsid w:val="0099472E"/>
    <w:rsid w:val="009A0E02"/>
    <w:rsid w:val="009A3F60"/>
    <w:rsid w:val="009A6071"/>
    <w:rsid w:val="009B3B04"/>
    <w:rsid w:val="009B5BFF"/>
    <w:rsid w:val="009B7474"/>
    <w:rsid w:val="009C0122"/>
    <w:rsid w:val="009C0BE2"/>
    <w:rsid w:val="009C1C7E"/>
    <w:rsid w:val="009E3E10"/>
    <w:rsid w:val="009E584F"/>
    <w:rsid w:val="009E5BAB"/>
    <w:rsid w:val="00A053ED"/>
    <w:rsid w:val="00A07EDA"/>
    <w:rsid w:val="00A10264"/>
    <w:rsid w:val="00A14EE7"/>
    <w:rsid w:val="00A227CE"/>
    <w:rsid w:val="00A27912"/>
    <w:rsid w:val="00A47F16"/>
    <w:rsid w:val="00A534A9"/>
    <w:rsid w:val="00A63996"/>
    <w:rsid w:val="00A67F46"/>
    <w:rsid w:val="00A71501"/>
    <w:rsid w:val="00A7632B"/>
    <w:rsid w:val="00A80915"/>
    <w:rsid w:val="00A821B0"/>
    <w:rsid w:val="00A86698"/>
    <w:rsid w:val="00A8756A"/>
    <w:rsid w:val="00A87CBE"/>
    <w:rsid w:val="00A90E83"/>
    <w:rsid w:val="00AA349A"/>
    <w:rsid w:val="00AB1CB9"/>
    <w:rsid w:val="00AB795D"/>
    <w:rsid w:val="00AF3A0F"/>
    <w:rsid w:val="00B054FA"/>
    <w:rsid w:val="00B0578E"/>
    <w:rsid w:val="00B061C2"/>
    <w:rsid w:val="00B11FE4"/>
    <w:rsid w:val="00B17F8B"/>
    <w:rsid w:val="00B27287"/>
    <w:rsid w:val="00B33AB3"/>
    <w:rsid w:val="00B34DFD"/>
    <w:rsid w:val="00B37895"/>
    <w:rsid w:val="00B41F04"/>
    <w:rsid w:val="00B44D6A"/>
    <w:rsid w:val="00B55F68"/>
    <w:rsid w:val="00B57112"/>
    <w:rsid w:val="00B64D5A"/>
    <w:rsid w:val="00B816A1"/>
    <w:rsid w:val="00B83DC3"/>
    <w:rsid w:val="00B86975"/>
    <w:rsid w:val="00B87C84"/>
    <w:rsid w:val="00B959BE"/>
    <w:rsid w:val="00BA570A"/>
    <w:rsid w:val="00BA6250"/>
    <w:rsid w:val="00BB2CD1"/>
    <w:rsid w:val="00BB7F6B"/>
    <w:rsid w:val="00BC04DC"/>
    <w:rsid w:val="00BE01D0"/>
    <w:rsid w:val="00BE538F"/>
    <w:rsid w:val="00BE7C78"/>
    <w:rsid w:val="00BF2F8E"/>
    <w:rsid w:val="00BF4619"/>
    <w:rsid w:val="00C00628"/>
    <w:rsid w:val="00C0221A"/>
    <w:rsid w:val="00C132A2"/>
    <w:rsid w:val="00C15C85"/>
    <w:rsid w:val="00C21607"/>
    <w:rsid w:val="00C21736"/>
    <w:rsid w:val="00C24E59"/>
    <w:rsid w:val="00C262EC"/>
    <w:rsid w:val="00C343D3"/>
    <w:rsid w:val="00C400FE"/>
    <w:rsid w:val="00C4092C"/>
    <w:rsid w:val="00C421BC"/>
    <w:rsid w:val="00C46B3D"/>
    <w:rsid w:val="00C6715A"/>
    <w:rsid w:val="00C712DA"/>
    <w:rsid w:val="00C7383B"/>
    <w:rsid w:val="00C8303F"/>
    <w:rsid w:val="00C962B2"/>
    <w:rsid w:val="00C97B37"/>
    <w:rsid w:val="00CA272F"/>
    <w:rsid w:val="00CA28AB"/>
    <w:rsid w:val="00CA6586"/>
    <w:rsid w:val="00CB21A7"/>
    <w:rsid w:val="00CB3E8C"/>
    <w:rsid w:val="00CC0340"/>
    <w:rsid w:val="00CC0708"/>
    <w:rsid w:val="00CC1DDB"/>
    <w:rsid w:val="00CC7287"/>
    <w:rsid w:val="00CD72A7"/>
    <w:rsid w:val="00CE1FB3"/>
    <w:rsid w:val="00CE2BD9"/>
    <w:rsid w:val="00CE61D0"/>
    <w:rsid w:val="00CE79AE"/>
    <w:rsid w:val="00CF0105"/>
    <w:rsid w:val="00CF0BD9"/>
    <w:rsid w:val="00CF2E29"/>
    <w:rsid w:val="00CF5484"/>
    <w:rsid w:val="00CF5AD3"/>
    <w:rsid w:val="00CF5D98"/>
    <w:rsid w:val="00D02347"/>
    <w:rsid w:val="00D04B16"/>
    <w:rsid w:val="00D06C1B"/>
    <w:rsid w:val="00D157C5"/>
    <w:rsid w:val="00D16C62"/>
    <w:rsid w:val="00D176A8"/>
    <w:rsid w:val="00D24C57"/>
    <w:rsid w:val="00D26CA1"/>
    <w:rsid w:val="00D30F1F"/>
    <w:rsid w:val="00D3284C"/>
    <w:rsid w:val="00D36FE9"/>
    <w:rsid w:val="00D425D8"/>
    <w:rsid w:val="00D47FC0"/>
    <w:rsid w:val="00D52DDD"/>
    <w:rsid w:val="00D55006"/>
    <w:rsid w:val="00D56B7E"/>
    <w:rsid w:val="00D6674C"/>
    <w:rsid w:val="00D67234"/>
    <w:rsid w:val="00D75CF7"/>
    <w:rsid w:val="00D8268A"/>
    <w:rsid w:val="00DA2153"/>
    <w:rsid w:val="00DB1F63"/>
    <w:rsid w:val="00DB40D2"/>
    <w:rsid w:val="00DC1F6F"/>
    <w:rsid w:val="00DC3D4D"/>
    <w:rsid w:val="00DC476C"/>
    <w:rsid w:val="00DD02F9"/>
    <w:rsid w:val="00DD1DF5"/>
    <w:rsid w:val="00DE4EE8"/>
    <w:rsid w:val="00DF45CE"/>
    <w:rsid w:val="00E01504"/>
    <w:rsid w:val="00E1411D"/>
    <w:rsid w:val="00E2357F"/>
    <w:rsid w:val="00E271E5"/>
    <w:rsid w:val="00E3012E"/>
    <w:rsid w:val="00E30ECF"/>
    <w:rsid w:val="00E4264B"/>
    <w:rsid w:val="00E45703"/>
    <w:rsid w:val="00E5086A"/>
    <w:rsid w:val="00E54C68"/>
    <w:rsid w:val="00E9080B"/>
    <w:rsid w:val="00E928A0"/>
    <w:rsid w:val="00EA452F"/>
    <w:rsid w:val="00EB02D7"/>
    <w:rsid w:val="00EC7F6B"/>
    <w:rsid w:val="00ED37AC"/>
    <w:rsid w:val="00ED4374"/>
    <w:rsid w:val="00EF07B3"/>
    <w:rsid w:val="00EF5CC0"/>
    <w:rsid w:val="00EF68A4"/>
    <w:rsid w:val="00F03EA2"/>
    <w:rsid w:val="00F1246F"/>
    <w:rsid w:val="00F2577C"/>
    <w:rsid w:val="00F30B4F"/>
    <w:rsid w:val="00F32B11"/>
    <w:rsid w:val="00F35FA9"/>
    <w:rsid w:val="00F45D10"/>
    <w:rsid w:val="00F47684"/>
    <w:rsid w:val="00F517D2"/>
    <w:rsid w:val="00F567B9"/>
    <w:rsid w:val="00F61895"/>
    <w:rsid w:val="00F82246"/>
    <w:rsid w:val="00F913CB"/>
    <w:rsid w:val="00F92EAC"/>
    <w:rsid w:val="00FA1D22"/>
    <w:rsid w:val="00FA5AB8"/>
    <w:rsid w:val="00FA73C5"/>
    <w:rsid w:val="00FA77A8"/>
    <w:rsid w:val="00FB5BEE"/>
    <w:rsid w:val="00FC6386"/>
    <w:rsid w:val="00FD6D27"/>
    <w:rsid w:val="00FE3850"/>
    <w:rsid w:val="00FE5EFD"/>
    <w:rsid w:val="00FE75A4"/>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8F"/>
    <w:rPr>
      <w:rFonts w:eastAsia="Times New Roman"/>
      <w:lang w:eastAsia="en-US"/>
    </w:rPr>
  </w:style>
  <w:style w:type="paragraph" w:styleId="Heading1">
    <w:name w:val="heading 1"/>
    <w:basedOn w:val="Normal"/>
    <w:next w:val="Normal"/>
    <w:qFormat/>
    <w:rsid w:val="00BE538F"/>
    <w:pPr>
      <w:keepNext/>
      <w:widowControl w:val="0"/>
      <w:spacing w:line="240" w:lineRule="atLeast"/>
      <w:ind w:right="-1710"/>
      <w:jc w:val="both"/>
      <w:outlineLvl w:val="0"/>
    </w:pPr>
    <w:rPr>
      <w:rFonts w:ascii="Tms Rmn" w:hAnsi="Tms Rmn"/>
      <w:b/>
      <w:snapToGrid w:val="0"/>
      <w:color w:val="000000"/>
      <w:sz w:val="22"/>
    </w:rPr>
  </w:style>
  <w:style w:type="paragraph" w:styleId="Heading2">
    <w:name w:val="heading 2"/>
    <w:basedOn w:val="Normal"/>
    <w:next w:val="Normal"/>
    <w:qFormat/>
    <w:rsid w:val="00BE53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538F"/>
    <w:pPr>
      <w:keepNext/>
      <w:jc w:val="center"/>
      <w:outlineLvl w:val="2"/>
    </w:pPr>
    <w:rPr>
      <w:b/>
      <w:sz w:val="22"/>
      <w:szCs w:val="22"/>
    </w:rPr>
  </w:style>
  <w:style w:type="paragraph" w:styleId="Heading4">
    <w:name w:val="heading 4"/>
    <w:basedOn w:val="Normal"/>
    <w:next w:val="Normal"/>
    <w:qFormat/>
    <w:rsid w:val="00BE538F"/>
    <w:pPr>
      <w:keepNext/>
      <w:tabs>
        <w:tab w:val="left" w:pos="360"/>
      </w:tabs>
      <w:ind w:right="-1710"/>
      <w:jc w:val="both"/>
      <w:outlineLvl w:val="3"/>
    </w:pPr>
    <w:rPr>
      <w:b/>
    </w:rPr>
  </w:style>
  <w:style w:type="paragraph" w:styleId="Heading5">
    <w:name w:val="heading 5"/>
    <w:basedOn w:val="Normal"/>
    <w:next w:val="Normal"/>
    <w:qFormat/>
    <w:rsid w:val="00BE538F"/>
    <w:pPr>
      <w:keepNext/>
      <w:ind w:left="720"/>
      <w:jc w:val="both"/>
      <w:outlineLvl w:val="4"/>
    </w:pPr>
    <w:rPr>
      <w:b/>
      <w:bCs/>
      <w:sz w:val="22"/>
    </w:rPr>
  </w:style>
  <w:style w:type="paragraph" w:styleId="Heading6">
    <w:name w:val="heading 6"/>
    <w:basedOn w:val="Normal"/>
    <w:next w:val="Normal"/>
    <w:qFormat/>
    <w:rsid w:val="00BE538F"/>
    <w:pPr>
      <w:keepNext/>
      <w:ind w:left="720"/>
      <w:jc w:val="both"/>
      <w:outlineLvl w:val="5"/>
    </w:pPr>
    <w:rPr>
      <w:sz w:val="22"/>
      <w:u w:val="single"/>
    </w:rPr>
  </w:style>
  <w:style w:type="paragraph" w:styleId="Heading7">
    <w:name w:val="heading 7"/>
    <w:basedOn w:val="Normal"/>
    <w:next w:val="Normal"/>
    <w:qFormat/>
    <w:rsid w:val="00BE538F"/>
    <w:pPr>
      <w:keepNext/>
      <w:ind w:left="720"/>
      <w:jc w:val="both"/>
      <w:outlineLvl w:val="6"/>
    </w:pPr>
    <w:rPr>
      <w:b/>
      <w:bCs/>
      <w:sz w:val="22"/>
      <w:u w:val="single"/>
    </w:rPr>
  </w:style>
  <w:style w:type="paragraph" w:styleId="Heading8">
    <w:name w:val="heading 8"/>
    <w:basedOn w:val="Normal"/>
    <w:next w:val="Normal"/>
    <w:qFormat/>
    <w:rsid w:val="00BE538F"/>
    <w:pPr>
      <w:keepNext/>
      <w:outlineLvl w:val="7"/>
    </w:pPr>
    <w:rPr>
      <w:b/>
      <w:szCs w:val="22"/>
    </w:rPr>
  </w:style>
  <w:style w:type="paragraph" w:styleId="Heading9">
    <w:name w:val="heading 9"/>
    <w:basedOn w:val="Normal"/>
    <w:next w:val="Normal"/>
    <w:qFormat/>
    <w:rsid w:val="00BE538F"/>
    <w:pPr>
      <w:keepNext/>
      <w:numPr>
        <w:numId w:val="1"/>
      </w:numPr>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38F"/>
    <w:pPr>
      <w:tabs>
        <w:tab w:val="left" w:pos="257"/>
        <w:tab w:val="left" w:pos="5520"/>
        <w:tab w:val="left" w:pos="8460"/>
      </w:tabs>
    </w:pPr>
    <w:rPr>
      <w:rFonts w:ascii="Palatino" w:hAnsi="Palatino"/>
      <w:snapToGrid w:val="0"/>
      <w:color w:val="000000"/>
      <w:sz w:val="22"/>
    </w:rPr>
  </w:style>
  <w:style w:type="paragraph" w:styleId="BodyTextIndent2">
    <w:name w:val="Body Text Indent 2"/>
    <w:basedOn w:val="Normal"/>
    <w:rsid w:val="00BE538F"/>
    <w:pPr>
      <w:ind w:left="720"/>
      <w:jc w:val="both"/>
    </w:pPr>
    <w:rPr>
      <w:snapToGrid w:val="0"/>
      <w:color w:val="000000"/>
      <w:sz w:val="22"/>
    </w:rPr>
  </w:style>
  <w:style w:type="paragraph" w:styleId="BodyTextIndent3">
    <w:name w:val="Body Text Indent 3"/>
    <w:basedOn w:val="Normal"/>
    <w:rsid w:val="00BE538F"/>
    <w:pPr>
      <w:ind w:left="720" w:hanging="720"/>
      <w:jc w:val="both"/>
    </w:pPr>
    <w:rPr>
      <w:snapToGrid w:val="0"/>
      <w:color w:val="000000"/>
      <w:sz w:val="22"/>
    </w:rPr>
  </w:style>
  <w:style w:type="paragraph" w:styleId="Footer">
    <w:name w:val="footer"/>
    <w:basedOn w:val="Normal"/>
    <w:rsid w:val="00BE538F"/>
    <w:pPr>
      <w:tabs>
        <w:tab w:val="center" w:pos="4320"/>
        <w:tab w:val="right" w:pos="8640"/>
      </w:tabs>
    </w:pPr>
  </w:style>
  <w:style w:type="character" w:styleId="PageNumber">
    <w:name w:val="page number"/>
    <w:basedOn w:val="DefaultParagraphFont"/>
    <w:rsid w:val="00BE538F"/>
  </w:style>
  <w:style w:type="paragraph" w:styleId="Header">
    <w:name w:val="header"/>
    <w:basedOn w:val="Normal"/>
    <w:rsid w:val="00BE538F"/>
    <w:pPr>
      <w:tabs>
        <w:tab w:val="center" w:pos="4320"/>
        <w:tab w:val="right" w:pos="8640"/>
      </w:tabs>
    </w:pPr>
  </w:style>
  <w:style w:type="paragraph" w:styleId="BalloonText">
    <w:name w:val="Balloon Text"/>
    <w:basedOn w:val="Normal"/>
    <w:semiHidden/>
    <w:rsid w:val="00BE538F"/>
    <w:rPr>
      <w:rFonts w:ascii="Tahoma" w:hAnsi="Tahoma" w:cs="Tahoma"/>
      <w:sz w:val="16"/>
      <w:szCs w:val="16"/>
    </w:rPr>
  </w:style>
  <w:style w:type="paragraph" w:styleId="BodyTextIndent">
    <w:name w:val="Body Text Indent"/>
    <w:basedOn w:val="Normal"/>
    <w:rsid w:val="00BE538F"/>
    <w:pPr>
      <w:ind w:left="720" w:hanging="720"/>
      <w:jc w:val="both"/>
    </w:pPr>
    <w:rPr>
      <w:b/>
      <w:snapToGrid w:val="0"/>
      <w:color w:val="000000"/>
      <w:sz w:val="22"/>
      <w:szCs w:val="22"/>
    </w:rPr>
  </w:style>
  <w:style w:type="paragraph" w:styleId="Caption">
    <w:name w:val="caption"/>
    <w:basedOn w:val="Normal"/>
    <w:next w:val="Normal"/>
    <w:qFormat/>
    <w:rsid w:val="00BE538F"/>
    <w:pPr>
      <w:numPr>
        <w:numId w:val="8"/>
      </w:numPr>
      <w:jc w:val="both"/>
    </w:pPr>
    <w:rPr>
      <w:b/>
    </w:rPr>
  </w:style>
  <w:style w:type="paragraph" w:styleId="BodyText2">
    <w:name w:val="Body Text 2"/>
    <w:basedOn w:val="Normal"/>
    <w:rsid w:val="00BE538F"/>
    <w:pPr>
      <w:jc w:val="center"/>
    </w:pPr>
    <w:rPr>
      <w:sz w:val="22"/>
    </w:rPr>
  </w:style>
  <w:style w:type="paragraph" w:styleId="BodyText3">
    <w:name w:val="Body Text 3"/>
    <w:basedOn w:val="Normal"/>
    <w:rsid w:val="00BE538F"/>
    <w:pPr>
      <w:jc w:val="both"/>
    </w:pPr>
    <w:rPr>
      <w:i/>
      <w:iCs/>
      <w:sz w:val="22"/>
      <w:szCs w:val="22"/>
    </w:rPr>
  </w:style>
  <w:style w:type="paragraph" w:customStyle="1" w:styleId="StyleRight">
    <w:name w:val="Style Right"/>
    <w:basedOn w:val="Footer"/>
    <w:rsid w:val="00BE538F"/>
    <w:pPr>
      <w:jc w:val="right"/>
    </w:pPr>
  </w:style>
  <w:style w:type="paragraph" w:customStyle="1" w:styleId="Style1">
    <w:name w:val="Style1"/>
    <w:basedOn w:val="Footer"/>
    <w:next w:val="Footer"/>
    <w:rsid w:val="00BE538F"/>
  </w:style>
  <w:style w:type="paragraph" w:customStyle="1" w:styleId="Style2">
    <w:name w:val="Style2"/>
    <w:basedOn w:val="Footer"/>
    <w:rsid w:val="00BE538F"/>
  </w:style>
  <w:style w:type="character" w:customStyle="1" w:styleId="BodyTextChar">
    <w:name w:val="Body Text Char"/>
    <w:basedOn w:val="DefaultParagraphFont"/>
    <w:link w:val="BodyText"/>
    <w:rsid w:val="0021318B"/>
    <w:rPr>
      <w:rFonts w:ascii="Palatino" w:eastAsia="Times New Roman" w:hAnsi="Palatino"/>
      <w:snapToGrid w:val="0"/>
      <w:color w:val="00000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JOTECH HOLDINGS BERHAD (“JOTECH” or “the Company”)</vt:lpstr>
    </vt:vector>
  </TitlesOfParts>
  <Company>Jotech Holdings Berhad</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JOTECH HOLDINGS BERHAD (“JOTECH” or “the Company”)</dc:title>
  <dc:creator>MARIE</dc:creator>
  <cp:lastModifiedBy>MARIE</cp:lastModifiedBy>
  <cp:revision>3</cp:revision>
  <cp:lastPrinted>2013-11-25T10:27:00Z</cp:lastPrinted>
  <dcterms:created xsi:type="dcterms:W3CDTF">2013-11-29T07:31:00Z</dcterms:created>
  <dcterms:modified xsi:type="dcterms:W3CDTF">2013-11-29T07:33:00Z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1912505462</vt:i4>
  </property>
  <property fmtid="{D5CDD505-2E9C-101B-9397-08002B2CF9AE}" pid="3" name="_EmailSubject">
    <vt:lpwstr/>
  </property>
  <property fmtid="{D5CDD505-2E9C-101B-9397-08002B2CF9AE}" pid="4" name="_AuthorEmail">
    <vt:lpwstr>yewweng@jotech.aic.com.my</vt:lpwstr>
  </property>
  <property fmtid="{D5CDD505-2E9C-101B-9397-08002B2CF9AE}" pid="5" name="_AuthorEmailDisplayName">
    <vt:lpwstr>Lee Yew Weng</vt:lpwstr>
  </property>
  <property fmtid="{D5CDD505-2E9C-101B-9397-08002B2CF9AE}" pid="6" name="_ReviewingToolsShownOnce">
    <vt:lpwstr/>
  </property>
</Properties>
</file>